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DB" w:rsidRDefault="001B27DB" w:rsidP="001B27DB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UNIVERSIDAD CORPORATIVA ASEPEYO</w:t>
      </w:r>
      <w:r w:rsidR="00611F46">
        <w:rPr>
          <w:b/>
          <w:sz w:val="28"/>
          <w:szCs w:val="28"/>
        </w:rPr>
        <w:t xml:space="preserve"> 2018</w:t>
      </w:r>
    </w:p>
    <w:p w:rsidR="001B27DB" w:rsidRDefault="001B27DB" w:rsidP="001B27DB">
      <w:pPr>
        <w:rPr>
          <w:b/>
          <w:sz w:val="28"/>
          <w:szCs w:val="28"/>
        </w:rPr>
      </w:pPr>
    </w:p>
    <w:p w:rsidR="001B27DB" w:rsidRPr="006753B1" w:rsidRDefault="00450975" w:rsidP="001B27DB">
      <w:pPr>
        <w:spacing w:line="360" w:lineRule="auto"/>
        <w:jc w:val="both"/>
        <w:rPr>
          <w:b/>
          <w:sz w:val="28"/>
          <w:szCs w:val="28"/>
        </w:rPr>
      </w:pPr>
      <w:r>
        <w:rPr>
          <w:rStyle w:val="A7"/>
        </w:rPr>
        <w:t>Un año más desde la Universidad Corporativa se ha ofertado una amplia oferta que ha permitido conseguir los objetivos marcados</w:t>
      </w:r>
      <w:r w:rsidR="001B27DB">
        <w:rPr>
          <w:rStyle w:val="A7"/>
        </w:rPr>
        <w:t xml:space="preserve">, </w:t>
      </w:r>
      <w:r>
        <w:rPr>
          <w:rStyle w:val="A7"/>
        </w:rPr>
        <w:t>a la vez que hemos diseña</w:t>
      </w:r>
      <w:r w:rsidR="001B27DB">
        <w:rPr>
          <w:rStyle w:val="A7"/>
        </w:rPr>
        <w:t xml:space="preserve">do formatos y contenidos acordes </w:t>
      </w:r>
      <w:r>
        <w:rPr>
          <w:rStyle w:val="A7"/>
        </w:rPr>
        <w:t>al plan estratégico, y nuevos contenidos</w:t>
      </w:r>
      <w:r w:rsidR="001B27DB">
        <w:rPr>
          <w:rStyle w:val="A7"/>
        </w:rPr>
        <w:t xml:space="preserve">, hemos conseguido </w:t>
      </w:r>
      <w:r>
        <w:rPr>
          <w:rStyle w:val="A7"/>
        </w:rPr>
        <w:t xml:space="preserve">también, </w:t>
      </w:r>
      <w:r w:rsidR="001B27DB">
        <w:rPr>
          <w:rStyle w:val="A7"/>
        </w:rPr>
        <w:t>un año más, mantener los índices de calidad y actividad que nos marcamos y que presentamos a continuación.</w:t>
      </w:r>
    </w:p>
    <w:p w:rsidR="001B27DB" w:rsidRPr="007927CF" w:rsidRDefault="001B27DB" w:rsidP="001B27DB">
      <w:pPr>
        <w:rPr>
          <w:sz w:val="24"/>
          <w:szCs w:val="24"/>
        </w:rPr>
      </w:pPr>
    </w:p>
    <w:p w:rsidR="001B27DB" w:rsidRDefault="001B27DB" w:rsidP="001B27DB">
      <w:pPr>
        <w:rPr>
          <w:b/>
          <w:sz w:val="24"/>
          <w:szCs w:val="24"/>
        </w:rPr>
      </w:pPr>
      <w:r w:rsidRPr="007927C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ndicadores de actividad</w:t>
      </w:r>
    </w:p>
    <w:p w:rsidR="001B27DB" w:rsidRDefault="001B27DB" w:rsidP="001B27DB">
      <w:pPr>
        <w:rPr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6"/>
        <w:gridCol w:w="1188"/>
        <w:gridCol w:w="1188"/>
        <w:gridCol w:w="1188"/>
        <w:gridCol w:w="1188"/>
        <w:gridCol w:w="1186"/>
      </w:tblGrid>
      <w:tr w:rsidR="00450975" w:rsidRPr="00B0761A" w:rsidTr="00450975">
        <w:trPr>
          <w:trHeight w:val="165"/>
        </w:trPr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165" w:lineRule="atLeast"/>
              <w:jc w:val="both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450975" w:rsidP="00450975">
            <w:pPr>
              <w:spacing w:line="165" w:lineRule="atLeast"/>
              <w:jc w:val="center"/>
              <w:rPr>
                <w:rFonts w:ascii="Calibri" w:hAnsi="Calibri"/>
                <w:bCs/>
                <w:color w:val="FFFFFF" w:themeColor="light1"/>
                <w:kern w:val="24"/>
                <w:sz w:val="18"/>
                <w:szCs w:val="18"/>
              </w:rPr>
            </w:pPr>
          </w:p>
          <w:p w:rsidR="00450975" w:rsidRPr="00B42DCA" w:rsidRDefault="00450975" w:rsidP="00450975">
            <w:pPr>
              <w:spacing w:line="165" w:lineRule="atLeast"/>
              <w:jc w:val="center"/>
              <w:rPr>
                <w:sz w:val="36"/>
                <w:szCs w:val="36"/>
              </w:rPr>
            </w:pPr>
            <w:r w:rsidRPr="00B42DCA">
              <w:rPr>
                <w:rFonts w:ascii="Calibri" w:hAnsi="Calibri"/>
                <w:bCs/>
                <w:color w:val="FFFFFF" w:themeColor="light1"/>
                <w:kern w:val="24"/>
                <w:sz w:val="18"/>
                <w:szCs w:val="18"/>
              </w:rPr>
              <w:t>2018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450975" w:rsidRDefault="00450975" w:rsidP="00450975">
            <w:pPr>
              <w:spacing w:line="165" w:lineRule="atLeast"/>
              <w:jc w:val="center"/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</w:p>
          <w:p w:rsidR="00450975" w:rsidRPr="00450975" w:rsidRDefault="00450975" w:rsidP="00450975">
            <w:pPr>
              <w:spacing w:line="165" w:lineRule="atLeast"/>
              <w:jc w:val="center"/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2017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450975" w:rsidRDefault="00450975" w:rsidP="00450975">
            <w:pPr>
              <w:spacing w:line="165" w:lineRule="atLeast"/>
              <w:jc w:val="center"/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</w:p>
          <w:p w:rsidR="00450975" w:rsidRPr="00B0761A" w:rsidRDefault="00450975" w:rsidP="00450975">
            <w:pPr>
              <w:spacing w:line="165" w:lineRule="atLeast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2016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450975" w:rsidRDefault="00450975" w:rsidP="00450975">
            <w:pPr>
              <w:spacing w:line="165" w:lineRule="atLeast"/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</w:p>
          <w:p w:rsidR="00450975" w:rsidRPr="00B0761A" w:rsidRDefault="00450975" w:rsidP="00450975">
            <w:pPr>
              <w:spacing w:line="165" w:lineRule="atLeast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2015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450975" w:rsidRDefault="00450975" w:rsidP="00450975">
            <w:pPr>
              <w:spacing w:line="165" w:lineRule="atLeast"/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</w:p>
          <w:p w:rsidR="00450975" w:rsidRPr="00B0761A" w:rsidRDefault="00450975" w:rsidP="00450975">
            <w:pPr>
              <w:spacing w:line="165" w:lineRule="atLeast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2014</w:t>
            </w:r>
          </w:p>
        </w:tc>
      </w:tr>
      <w:tr w:rsidR="00450975" w:rsidRPr="00B0761A" w:rsidTr="00450975">
        <w:tc>
          <w:tcPr>
            <w:tcW w:w="15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360" w:lineRule="auto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Horas de formación</w:t>
            </w:r>
          </w:p>
        </w:tc>
        <w:tc>
          <w:tcPr>
            <w:tcW w:w="69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CF6B7E" w:rsidP="00450975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2DCA">
              <w:rPr>
                <w:rFonts w:asciiTheme="minorHAnsi" w:hAnsiTheme="minorHAnsi"/>
                <w:sz w:val="18"/>
                <w:szCs w:val="18"/>
              </w:rPr>
              <w:t>113.421</w:t>
            </w:r>
          </w:p>
        </w:tc>
        <w:tc>
          <w:tcPr>
            <w:tcW w:w="69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135.138</w:t>
            </w:r>
          </w:p>
        </w:tc>
        <w:tc>
          <w:tcPr>
            <w:tcW w:w="69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116.322,4</w:t>
            </w:r>
          </w:p>
        </w:tc>
        <w:tc>
          <w:tcPr>
            <w:tcW w:w="69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107.173,05</w:t>
            </w:r>
          </w:p>
        </w:tc>
        <w:tc>
          <w:tcPr>
            <w:tcW w:w="69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124.967,5</w:t>
            </w:r>
          </w:p>
        </w:tc>
      </w:tr>
      <w:tr w:rsidR="00450975" w:rsidRPr="00B0761A" w:rsidTr="00450975"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360" w:lineRule="auto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Horas por empleado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CF6B7E" w:rsidP="00450975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2DCA"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42,7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36.7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32,1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36,62</w:t>
            </w:r>
          </w:p>
        </w:tc>
      </w:tr>
      <w:tr w:rsidR="00450975" w:rsidRPr="00B0761A" w:rsidTr="00450975"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360" w:lineRule="auto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Nº asistencias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374F24" w:rsidP="00450975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2DCA">
              <w:rPr>
                <w:rFonts w:asciiTheme="minorHAnsi" w:hAnsiTheme="minorHAnsi"/>
                <w:sz w:val="18"/>
                <w:szCs w:val="18"/>
              </w:rPr>
              <w:t>13.280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14.598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21.803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17.201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21.883</w:t>
            </w:r>
          </w:p>
        </w:tc>
      </w:tr>
      <w:tr w:rsidR="00450975" w:rsidRPr="00B0761A" w:rsidTr="00450975"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360" w:lineRule="auto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Nº personas formadas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374F24" w:rsidP="00450975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2DCA">
              <w:rPr>
                <w:rFonts w:asciiTheme="minorHAnsi" w:hAnsiTheme="minorHAnsi"/>
                <w:sz w:val="18"/>
                <w:szCs w:val="18"/>
              </w:rPr>
              <w:t>3.302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3.156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3.084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3.340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3.581</w:t>
            </w:r>
          </w:p>
        </w:tc>
      </w:tr>
      <w:tr w:rsidR="00450975" w:rsidRPr="00B0761A" w:rsidTr="00450975"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360" w:lineRule="auto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Personal formado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374F24" w:rsidP="00450975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2DCA">
              <w:rPr>
                <w:rFonts w:asciiTheme="minorHAnsi" w:hAnsiTheme="minorHAnsi"/>
                <w:sz w:val="18"/>
                <w:szCs w:val="18"/>
              </w:rPr>
              <w:t>94%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99%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97%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100%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96%</w:t>
            </w:r>
          </w:p>
        </w:tc>
      </w:tr>
      <w:tr w:rsidR="00450975" w:rsidRPr="00B0761A" w:rsidTr="00450975"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360" w:lineRule="auto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Nº sesiones formativas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CD6D10" w:rsidP="00450975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1.328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1.356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1.426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1.524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1.342</w:t>
            </w:r>
          </w:p>
        </w:tc>
      </w:tr>
      <w:tr w:rsidR="00450975" w:rsidRPr="00B0761A" w:rsidTr="00450975"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360" w:lineRule="auto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Nº sesiones presenciales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CD6D10" w:rsidP="00450975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798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68%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63%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63%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63%</w:t>
            </w:r>
          </w:p>
        </w:tc>
      </w:tr>
      <w:tr w:rsidR="00450975" w:rsidRPr="00B0761A" w:rsidTr="00450975"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360" w:lineRule="auto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Nº sesiones </w:t>
            </w:r>
            <w:proofErr w:type="spellStart"/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on</w:t>
            </w:r>
            <w:proofErr w:type="spellEnd"/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line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CD6D10" w:rsidP="00450975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416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26%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34%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32%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33%</w:t>
            </w:r>
          </w:p>
        </w:tc>
      </w:tr>
      <w:tr w:rsidR="00450975" w:rsidRPr="00B0761A" w:rsidTr="00450975"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360" w:lineRule="auto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Nº sesiones </w:t>
            </w:r>
            <w:proofErr w:type="spellStart"/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blended</w:t>
            </w:r>
            <w:proofErr w:type="spellEnd"/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CD6D10" w:rsidP="00450975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114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4.5%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3.5%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3%</w:t>
            </w:r>
          </w:p>
        </w:tc>
      </w:tr>
      <w:tr w:rsidR="00450975" w:rsidRPr="00B0761A" w:rsidTr="00450975"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360" w:lineRule="auto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Presupuesto formación (€)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B42DCA" w:rsidP="00450975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2DCA">
              <w:rPr>
                <w:rFonts w:asciiTheme="minorHAnsi" w:hAnsiTheme="minorHAnsi"/>
                <w:sz w:val="18"/>
                <w:szCs w:val="18"/>
              </w:rPr>
              <w:t>1.316489,13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1.164.651,33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989.600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935321,29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900.958,04</w:t>
            </w:r>
          </w:p>
        </w:tc>
      </w:tr>
      <w:tr w:rsidR="00450975" w:rsidRPr="00B0761A" w:rsidTr="00450975"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975" w:rsidRPr="00B0761A" w:rsidRDefault="00450975" w:rsidP="00450975">
            <w:pPr>
              <w:spacing w:line="360" w:lineRule="auto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b/>
                <w:bCs/>
                <w:color w:val="FFFFFF" w:themeColor="light1"/>
                <w:kern w:val="24"/>
                <w:sz w:val="18"/>
                <w:szCs w:val="18"/>
              </w:rPr>
              <w:t>Coste por persona (€)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50975" w:rsidRPr="00B42DCA" w:rsidRDefault="00B42DCA" w:rsidP="00450975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2DCA">
              <w:rPr>
                <w:rFonts w:asciiTheme="minorHAnsi" w:hAnsiTheme="minorHAnsi"/>
                <w:sz w:val="18"/>
                <w:szCs w:val="18"/>
              </w:rPr>
              <w:t>399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368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312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280</w:t>
            </w:r>
          </w:p>
        </w:tc>
        <w:tc>
          <w:tcPr>
            <w:tcW w:w="6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450975" w:rsidRPr="00B0761A" w:rsidRDefault="00450975" w:rsidP="00450975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0761A">
              <w:rPr>
                <w:rFonts w:ascii="Calibri" w:hAnsi="Calibri"/>
                <w:color w:val="000000" w:themeColor="dark1"/>
                <w:kern w:val="24"/>
                <w:sz w:val="18"/>
                <w:szCs w:val="18"/>
              </w:rPr>
              <w:t>264</w:t>
            </w:r>
          </w:p>
        </w:tc>
      </w:tr>
    </w:tbl>
    <w:p w:rsidR="001B27DB" w:rsidRDefault="001B27DB" w:rsidP="001B27DB">
      <w:pPr>
        <w:rPr>
          <w:b/>
          <w:sz w:val="24"/>
          <w:szCs w:val="24"/>
        </w:rPr>
      </w:pPr>
    </w:p>
    <w:p w:rsidR="001B27DB" w:rsidRDefault="00374F24" w:rsidP="001B27DB">
      <w:pPr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El consumo del presupuesto se muestra a continuación: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3200"/>
        <w:gridCol w:w="1600"/>
        <w:gridCol w:w="1640"/>
        <w:gridCol w:w="1340"/>
        <w:gridCol w:w="940"/>
      </w:tblGrid>
      <w:tr w:rsidR="00D656C0" w:rsidRPr="00D656C0" w:rsidTr="00D6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proofErr w:type="spellStart"/>
            <w:r w:rsidRPr="00D656C0">
              <w:rPr>
                <w:rFonts w:ascii="Calibri" w:hAnsi="Calibri" w:cs="Times New Roman"/>
                <w:b/>
                <w:bCs/>
                <w:color w:val="000000"/>
              </w:rPr>
              <w:t>Ppto.Concedido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D656C0">
              <w:rPr>
                <w:rFonts w:ascii="Calibri" w:hAnsi="Calibri" w:cs="Times New Roman"/>
                <w:b/>
                <w:bCs/>
                <w:color w:val="000000"/>
              </w:rPr>
              <w:t>Total consumido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D656C0">
              <w:rPr>
                <w:rFonts w:ascii="Calibri" w:hAnsi="Calibri" w:cs="Times New Roman"/>
                <w:b/>
                <w:bCs/>
                <w:color w:val="000000"/>
              </w:rPr>
              <w:t>% consumido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D656C0" w:rsidRPr="00D656C0" w:rsidTr="00D656C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11021620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 xml:space="preserve">Incapacidad temporal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2F2F2F"/>
              </w:rPr>
            </w:pPr>
            <w:r w:rsidRPr="00D656C0">
              <w:rPr>
                <w:rFonts w:ascii="Calibri" w:hAnsi="Calibri" w:cs="Times New Roman"/>
                <w:color w:val="2F2F2F"/>
              </w:rPr>
              <w:t>270.000,00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148323,78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55%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D656C0" w:rsidRPr="00D656C0" w:rsidTr="00D656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11051620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Capitales renta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2F2F2F"/>
              </w:rPr>
            </w:pPr>
            <w:r w:rsidRPr="00D656C0">
              <w:rPr>
                <w:rFonts w:ascii="Calibri" w:hAnsi="Calibri" w:cs="Times New Roman"/>
                <w:color w:val="2F2F2F"/>
              </w:rPr>
              <w:t>30.000,00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41000,55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137%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D656C0" w:rsidRPr="00D656C0" w:rsidTr="00D656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21221620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Medicina ambulatoria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2F2F2F"/>
              </w:rPr>
            </w:pPr>
            <w:r w:rsidRPr="00D656C0">
              <w:rPr>
                <w:rFonts w:ascii="Calibri" w:hAnsi="Calibri" w:cs="Times New Roman"/>
                <w:color w:val="2F2F2F"/>
              </w:rPr>
              <w:t>450.000,00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413978,03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92%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D656C0" w:rsidRPr="00D656C0" w:rsidTr="00D656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22241620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Medicina hospitalaria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2F2F2F"/>
              </w:rPr>
            </w:pPr>
            <w:r w:rsidRPr="00D656C0">
              <w:rPr>
                <w:rFonts w:ascii="Calibri" w:hAnsi="Calibri" w:cs="Times New Roman"/>
                <w:color w:val="2F2F2F"/>
              </w:rPr>
              <w:t>250.000,00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238021,21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D656C0" w:rsidRPr="00D656C0" w:rsidTr="00D656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34361620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Higiene y seguridad en el trabajo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2F2F2F"/>
              </w:rPr>
            </w:pPr>
            <w:r w:rsidRPr="00D656C0">
              <w:rPr>
                <w:rFonts w:ascii="Calibri" w:hAnsi="Calibri" w:cs="Times New Roman"/>
                <w:color w:val="2F2F2F"/>
              </w:rPr>
              <w:t>50.000,00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41287,39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83%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D656C0" w:rsidRPr="00D656C0" w:rsidTr="00D656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45911620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Dirección y servicios generales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2F2F2F"/>
              </w:rPr>
            </w:pPr>
            <w:r w:rsidRPr="00D656C0">
              <w:rPr>
                <w:rFonts w:ascii="Calibri" w:hAnsi="Calibri" w:cs="Times New Roman"/>
                <w:color w:val="2F2F2F"/>
              </w:rPr>
              <w:t>450.000,00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433878,17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D656C0" w:rsidRPr="00D656C0" w:rsidTr="00D6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  <w:r w:rsidRPr="00D656C0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D656C0" w:rsidRPr="00D656C0" w:rsidTr="00D656C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b/>
                <w:bCs/>
                <w:color w:val="000000"/>
              </w:rPr>
            </w:pPr>
            <w:r w:rsidRPr="00D656C0">
              <w:rPr>
                <w:rFonts w:ascii="Calibri" w:hAnsi="Calibri" w:cs="Times New Roman"/>
                <w:b/>
                <w:bCs/>
                <w:color w:val="000000"/>
              </w:rPr>
              <w:t>1500000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b/>
                <w:bCs/>
                <w:color w:val="000000"/>
              </w:rPr>
            </w:pPr>
            <w:r w:rsidRPr="00D656C0">
              <w:rPr>
                <w:rFonts w:ascii="Calibri" w:hAnsi="Calibri" w:cs="Times New Roman"/>
                <w:b/>
                <w:bCs/>
                <w:color w:val="000000"/>
              </w:rPr>
              <w:t>1316489,13</w:t>
            </w:r>
          </w:p>
        </w:tc>
        <w:tc>
          <w:tcPr>
            <w:tcW w:w="1340" w:type="dxa"/>
            <w:tcBorders>
              <w:top w:val="single" w:sz="4" w:space="0" w:color="95B3D7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656C0" w:rsidRPr="00D656C0" w:rsidRDefault="00D656C0" w:rsidP="00D656C0">
            <w:pPr>
              <w:jc w:val="right"/>
              <w:rPr>
                <w:rFonts w:ascii="Calibri" w:hAnsi="Calibri" w:cs="Times New Roman"/>
                <w:b/>
                <w:bCs/>
                <w:color w:val="000000"/>
              </w:rPr>
            </w:pPr>
            <w:r w:rsidRPr="00D656C0">
              <w:rPr>
                <w:rFonts w:ascii="Calibri" w:hAnsi="Calibri" w:cs="Times New Roman"/>
                <w:b/>
                <w:bCs/>
                <w:color w:val="000000"/>
              </w:rPr>
              <w:t>88%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D656C0" w:rsidRPr="00D656C0" w:rsidTr="00D6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C0" w:rsidRPr="00D656C0" w:rsidRDefault="00D656C0" w:rsidP="00D656C0">
            <w:pPr>
              <w:rPr>
                <w:rFonts w:ascii="Calibri" w:hAnsi="Calibri" w:cs="Times New Roman"/>
                <w:color w:val="000000"/>
              </w:rPr>
            </w:pPr>
          </w:p>
        </w:tc>
      </w:tr>
    </w:tbl>
    <w:p w:rsidR="001B27DB" w:rsidRDefault="001B27DB" w:rsidP="001B27DB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En cuanto a la d</w:t>
      </w:r>
      <w:r w:rsidRPr="00D26D17">
        <w:rPr>
          <w:rFonts w:eastAsiaTheme="minorHAnsi"/>
          <w:color w:val="000000"/>
          <w:lang w:eastAsia="en-US"/>
        </w:rPr>
        <w:t xml:space="preserve">istribución de las horas en función de la </w:t>
      </w:r>
      <w:r w:rsidRPr="00D26D17">
        <w:rPr>
          <w:rFonts w:eastAsiaTheme="minorHAnsi"/>
          <w:b/>
          <w:color w:val="000000"/>
          <w:lang w:eastAsia="en-US"/>
        </w:rPr>
        <w:t>metodología</w:t>
      </w:r>
      <w:r w:rsidRPr="00D26D17">
        <w:rPr>
          <w:rFonts w:eastAsiaTheme="minorHAnsi"/>
          <w:color w:val="000000"/>
          <w:lang w:eastAsia="en-US"/>
        </w:rPr>
        <w:t xml:space="preserve"> ha habido un</w:t>
      </w:r>
      <w:r w:rsidR="00691F55">
        <w:rPr>
          <w:rFonts w:eastAsiaTheme="minorHAnsi"/>
          <w:color w:val="000000"/>
          <w:lang w:eastAsia="en-US"/>
        </w:rPr>
        <w:t>a</w:t>
      </w:r>
      <w:r w:rsidRPr="00D26D17">
        <w:rPr>
          <w:rFonts w:eastAsiaTheme="minorHAnsi"/>
          <w:color w:val="000000"/>
          <w:lang w:eastAsia="en-US"/>
        </w:rPr>
        <w:t xml:space="preserve"> liger</w:t>
      </w:r>
      <w:r w:rsidR="00691F55">
        <w:rPr>
          <w:rFonts w:eastAsiaTheme="minorHAnsi"/>
          <w:color w:val="000000"/>
          <w:lang w:eastAsia="en-US"/>
        </w:rPr>
        <w:t>a</w:t>
      </w:r>
      <w:r w:rsidRPr="00D26D17">
        <w:rPr>
          <w:rFonts w:eastAsiaTheme="minorHAnsi"/>
          <w:color w:val="000000"/>
          <w:lang w:eastAsia="en-US"/>
        </w:rPr>
        <w:t xml:space="preserve"> </w:t>
      </w:r>
      <w:r w:rsidR="00691F55">
        <w:rPr>
          <w:rFonts w:eastAsiaTheme="minorHAnsi"/>
          <w:color w:val="000000"/>
          <w:lang w:eastAsia="en-US"/>
        </w:rPr>
        <w:t xml:space="preserve">bajada en los presenciales y una subida en los virtuales, y casi se ha doblado </w:t>
      </w:r>
      <w:r>
        <w:rPr>
          <w:rFonts w:eastAsiaTheme="minorHAnsi"/>
          <w:color w:val="000000"/>
          <w:lang w:eastAsia="en-US"/>
        </w:rPr>
        <w:t xml:space="preserve">la formación </w:t>
      </w:r>
      <w:proofErr w:type="spellStart"/>
      <w:r>
        <w:rPr>
          <w:rFonts w:eastAsiaTheme="minorHAnsi"/>
          <w:color w:val="000000"/>
          <w:lang w:eastAsia="en-US"/>
        </w:rPr>
        <w:t>blended</w:t>
      </w:r>
      <w:proofErr w:type="spellEnd"/>
      <w:r>
        <w:rPr>
          <w:rFonts w:eastAsiaTheme="minorHAnsi"/>
          <w:color w:val="000000"/>
          <w:lang w:eastAsia="en-US"/>
        </w:rPr>
        <w:t xml:space="preserve"> o mixta, que combina virtual y presencial y que corresponde a los programas individuales de desarrollo derivados de la evaluación del desempeño</w:t>
      </w:r>
      <w:r w:rsidRPr="00D26D17">
        <w:rPr>
          <w:rFonts w:eastAsiaTheme="minorHAnsi"/>
          <w:color w:val="000000"/>
          <w:lang w:eastAsia="en-US"/>
        </w:rPr>
        <w:t>.</w:t>
      </w:r>
    </w:p>
    <w:p w:rsidR="001B27DB" w:rsidRDefault="001B27DB" w:rsidP="001B27DB">
      <w:pPr>
        <w:rPr>
          <w:rFonts w:eastAsiaTheme="minorHAnsi"/>
          <w:color w:val="000000"/>
          <w:sz w:val="20"/>
          <w:szCs w:val="20"/>
          <w:lang w:eastAsia="en-US"/>
        </w:rPr>
      </w:pPr>
    </w:p>
    <w:tbl>
      <w:tblPr>
        <w:tblStyle w:val="Cuadrculamedia1-nfasis1"/>
        <w:tblW w:w="8720" w:type="dxa"/>
        <w:tblLook w:val="04A0" w:firstRow="1" w:lastRow="0" w:firstColumn="1" w:lastColumn="0" w:noHBand="0" w:noVBand="1"/>
      </w:tblPr>
      <w:tblGrid>
        <w:gridCol w:w="2340"/>
        <w:gridCol w:w="1165"/>
        <w:gridCol w:w="875"/>
        <w:gridCol w:w="1198"/>
        <w:gridCol w:w="723"/>
        <w:gridCol w:w="1219"/>
        <w:gridCol w:w="1200"/>
      </w:tblGrid>
      <w:tr w:rsidR="009C14BC" w:rsidRPr="008F1DBF" w:rsidTr="009C1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noWrap/>
            <w:hideMark/>
          </w:tcPr>
          <w:p w:rsidR="009C14BC" w:rsidRPr="008F1DBF" w:rsidRDefault="009C14BC" w:rsidP="00450975">
            <w:pPr>
              <w:rPr>
                <w:rFonts w:ascii="Calibri" w:hAnsi="Calibri" w:cs="Times New Roman"/>
                <w:color w:val="000000"/>
              </w:rPr>
            </w:pPr>
            <w:bookmarkStart w:id="0" w:name="_GoBack" w:colFirst="0" w:colLast="0"/>
            <w:r w:rsidRPr="008F1DBF">
              <w:rPr>
                <w:rFonts w:ascii="Calibri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040" w:type="dxa"/>
            <w:gridSpan w:val="2"/>
          </w:tcPr>
          <w:p w:rsidR="009C14BC" w:rsidRPr="009C14BC" w:rsidRDefault="009C14BC" w:rsidP="00450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9C14BC">
              <w:rPr>
                <w:rFonts w:ascii="Calibri" w:hAnsi="Calibri" w:cs="Times New Roman"/>
              </w:rPr>
              <w:t>2018</w:t>
            </w:r>
          </w:p>
        </w:tc>
        <w:tc>
          <w:tcPr>
            <w:tcW w:w="1921" w:type="dxa"/>
            <w:gridSpan w:val="2"/>
            <w:hideMark/>
          </w:tcPr>
          <w:p w:rsidR="009C14BC" w:rsidRPr="00C07143" w:rsidRDefault="009C14BC" w:rsidP="00450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bCs w:val="0"/>
              </w:rPr>
            </w:pPr>
            <w:r w:rsidRPr="00C07143">
              <w:rPr>
                <w:rFonts w:ascii="Calibri" w:hAnsi="Calibri" w:cs="Times New Roman"/>
                <w:b w:val="0"/>
              </w:rPr>
              <w:t>2017</w:t>
            </w:r>
          </w:p>
        </w:tc>
        <w:tc>
          <w:tcPr>
            <w:tcW w:w="1219" w:type="dxa"/>
            <w:noWrap/>
            <w:hideMark/>
          </w:tcPr>
          <w:p w:rsidR="009C14BC" w:rsidRPr="008F1DBF" w:rsidRDefault="009C14BC" w:rsidP="004509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bCs w:val="0"/>
                <w:color w:val="FFFFFF"/>
              </w:rPr>
            </w:pPr>
            <w:r w:rsidRPr="008F1DBF">
              <w:rPr>
                <w:rFonts w:ascii="Calibri" w:hAnsi="Calibri" w:cs="Times New Roman"/>
                <w:color w:val="FFFFFF"/>
              </w:rPr>
              <w:t>2016</w:t>
            </w:r>
          </w:p>
        </w:tc>
        <w:tc>
          <w:tcPr>
            <w:tcW w:w="1200" w:type="dxa"/>
            <w:noWrap/>
            <w:hideMark/>
          </w:tcPr>
          <w:p w:rsidR="009C14BC" w:rsidRPr="008F1DBF" w:rsidRDefault="009C14BC" w:rsidP="004509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bCs w:val="0"/>
                <w:color w:val="FFFFFF"/>
              </w:rPr>
            </w:pPr>
            <w:r w:rsidRPr="008F1DBF">
              <w:rPr>
                <w:rFonts w:ascii="Calibri" w:hAnsi="Calibri" w:cs="Times New Roman"/>
                <w:color w:val="FFFFFF"/>
              </w:rPr>
              <w:t>2015</w:t>
            </w:r>
          </w:p>
        </w:tc>
      </w:tr>
      <w:tr w:rsidR="009C14BC" w:rsidRPr="008F1DBF" w:rsidTr="009C1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9C14BC" w:rsidRPr="00606FE0" w:rsidRDefault="009C14BC" w:rsidP="00450975">
            <w:pPr>
              <w:rPr>
                <w:rFonts w:ascii="Calibri" w:hAnsi="Calibri" w:cs="Times New Roman"/>
                <w:b w:val="0"/>
                <w:color w:val="000000"/>
              </w:rPr>
            </w:pPr>
            <w:r w:rsidRPr="00606FE0">
              <w:rPr>
                <w:rFonts w:ascii="Calibri" w:hAnsi="Calibri" w:cs="Times New Roman"/>
                <w:b w:val="0"/>
                <w:color w:val="000000"/>
              </w:rPr>
              <w:t>Presencial</w:t>
            </w:r>
          </w:p>
        </w:tc>
        <w:tc>
          <w:tcPr>
            <w:tcW w:w="1165" w:type="dxa"/>
          </w:tcPr>
          <w:p w:rsidR="009C14BC" w:rsidRPr="00C07143" w:rsidRDefault="009C14BC" w:rsidP="009C14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</w:rPr>
            </w:pPr>
            <w:r w:rsidRPr="00E7515B">
              <w:rPr>
                <w:rFonts w:ascii="Calibri" w:hAnsi="Calibri" w:cs="Times New Roman"/>
                <w:b/>
                <w:bCs/>
                <w:color w:val="000000"/>
              </w:rPr>
              <w:t>39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>.</w:t>
            </w:r>
            <w:r w:rsidRPr="00E7515B">
              <w:rPr>
                <w:rFonts w:ascii="Calibri" w:hAnsi="Calibri" w:cs="Times New Roman"/>
                <w:b/>
                <w:bCs/>
                <w:color w:val="000000"/>
              </w:rPr>
              <w:t>135</w:t>
            </w:r>
          </w:p>
        </w:tc>
        <w:tc>
          <w:tcPr>
            <w:tcW w:w="875" w:type="dxa"/>
          </w:tcPr>
          <w:p w:rsidR="009C14BC" w:rsidRPr="00C07143" w:rsidRDefault="009C14BC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34%</w:t>
            </w:r>
          </w:p>
        </w:tc>
        <w:tc>
          <w:tcPr>
            <w:tcW w:w="1198" w:type="dxa"/>
            <w:hideMark/>
          </w:tcPr>
          <w:p w:rsidR="009C14BC" w:rsidRPr="009C14BC" w:rsidRDefault="009C14BC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9C14BC">
              <w:rPr>
                <w:rFonts w:ascii="Calibri" w:hAnsi="Calibri" w:cs="Times New Roman"/>
              </w:rPr>
              <w:t>63.430</w:t>
            </w:r>
          </w:p>
        </w:tc>
        <w:tc>
          <w:tcPr>
            <w:tcW w:w="723" w:type="dxa"/>
          </w:tcPr>
          <w:p w:rsidR="009C14BC" w:rsidRPr="009C14BC" w:rsidRDefault="009C14BC" w:rsidP="0045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9C14BC">
              <w:rPr>
                <w:rFonts w:ascii="Calibri" w:hAnsi="Calibri" w:cs="Times New Roman"/>
              </w:rPr>
              <w:t>47%</w:t>
            </w:r>
          </w:p>
        </w:tc>
        <w:tc>
          <w:tcPr>
            <w:tcW w:w="1219" w:type="dxa"/>
            <w:noWrap/>
            <w:hideMark/>
          </w:tcPr>
          <w:p w:rsidR="009C14BC" w:rsidRPr="008F1DBF" w:rsidRDefault="009C14BC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8F1DBF">
              <w:rPr>
                <w:rFonts w:ascii="Calibri" w:hAnsi="Calibri" w:cs="Times New Roman"/>
                <w:color w:val="000000"/>
              </w:rPr>
              <w:t>59.588,38</w:t>
            </w:r>
          </w:p>
        </w:tc>
        <w:tc>
          <w:tcPr>
            <w:tcW w:w="1200" w:type="dxa"/>
            <w:hideMark/>
          </w:tcPr>
          <w:p w:rsidR="009C14BC" w:rsidRPr="008F1DBF" w:rsidRDefault="009C14BC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8F1DBF">
              <w:rPr>
                <w:rFonts w:ascii="Calibri" w:hAnsi="Calibri" w:cs="Times New Roman"/>
                <w:color w:val="000000"/>
              </w:rPr>
              <w:t>52.762</w:t>
            </w:r>
          </w:p>
        </w:tc>
      </w:tr>
      <w:tr w:rsidR="009C14BC" w:rsidRPr="008F1DBF" w:rsidTr="009C14B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9C14BC" w:rsidRPr="00606FE0" w:rsidRDefault="009C14BC" w:rsidP="00450975">
            <w:pPr>
              <w:rPr>
                <w:rFonts w:ascii="Calibri" w:hAnsi="Calibri" w:cs="Times New Roman"/>
                <w:b w:val="0"/>
                <w:color w:val="000000"/>
              </w:rPr>
            </w:pPr>
            <w:proofErr w:type="spellStart"/>
            <w:r w:rsidRPr="00606FE0">
              <w:rPr>
                <w:rFonts w:ascii="Calibri" w:hAnsi="Calibri" w:cs="Times New Roman"/>
                <w:b w:val="0"/>
                <w:color w:val="000000"/>
              </w:rPr>
              <w:t>On</w:t>
            </w:r>
            <w:proofErr w:type="spellEnd"/>
            <w:r w:rsidRPr="00606FE0">
              <w:rPr>
                <w:rFonts w:ascii="Calibri" w:hAnsi="Calibri" w:cs="Times New Roman"/>
                <w:b w:val="0"/>
                <w:color w:val="000000"/>
              </w:rPr>
              <w:t xml:space="preserve"> line</w:t>
            </w:r>
          </w:p>
        </w:tc>
        <w:tc>
          <w:tcPr>
            <w:tcW w:w="1165" w:type="dxa"/>
            <w:vAlign w:val="bottom"/>
          </w:tcPr>
          <w:p w:rsidR="009C14BC" w:rsidRPr="00E7515B" w:rsidRDefault="009C14BC" w:rsidP="009C14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54.229</w:t>
            </w:r>
          </w:p>
        </w:tc>
        <w:tc>
          <w:tcPr>
            <w:tcW w:w="875" w:type="dxa"/>
          </w:tcPr>
          <w:p w:rsidR="009C14BC" w:rsidRPr="00C07143" w:rsidRDefault="009C14BC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48%</w:t>
            </w:r>
          </w:p>
        </w:tc>
        <w:tc>
          <w:tcPr>
            <w:tcW w:w="1198" w:type="dxa"/>
            <w:hideMark/>
          </w:tcPr>
          <w:p w:rsidR="009C14BC" w:rsidRPr="009C14BC" w:rsidRDefault="009C14BC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9C14BC">
              <w:rPr>
                <w:rFonts w:ascii="Calibri" w:hAnsi="Calibri" w:cs="Times New Roman"/>
              </w:rPr>
              <w:t>59.061</w:t>
            </w:r>
          </w:p>
        </w:tc>
        <w:tc>
          <w:tcPr>
            <w:tcW w:w="723" w:type="dxa"/>
          </w:tcPr>
          <w:p w:rsidR="009C14BC" w:rsidRPr="009C14BC" w:rsidRDefault="009C14BC" w:rsidP="00450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9C14BC">
              <w:rPr>
                <w:rFonts w:ascii="Calibri" w:hAnsi="Calibri" w:cs="Times New Roman"/>
              </w:rPr>
              <w:t>44%</w:t>
            </w:r>
          </w:p>
        </w:tc>
        <w:tc>
          <w:tcPr>
            <w:tcW w:w="1219" w:type="dxa"/>
            <w:noWrap/>
            <w:hideMark/>
          </w:tcPr>
          <w:p w:rsidR="009C14BC" w:rsidRPr="008F1DBF" w:rsidRDefault="009C14BC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8F1DBF">
              <w:rPr>
                <w:rFonts w:ascii="Calibri" w:hAnsi="Calibri" w:cs="Times New Roman"/>
                <w:color w:val="000000"/>
              </w:rPr>
              <w:t>44.927</w:t>
            </w:r>
          </w:p>
        </w:tc>
        <w:tc>
          <w:tcPr>
            <w:tcW w:w="1200" w:type="dxa"/>
            <w:hideMark/>
          </w:tcPr>
          <w:p w:rsidR="009C14BC" w:rsidRPr="008F1DBF" w:rsidRDefault="009C14BC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8F1DBF">
              <w:rPr>
                <w:rFonts w:ascii="Calibri" w:hAnsi="Calibri" w:cs="Times New Roman"/>
                <w:color w:val="000000"/>
              </w:rPr>
              <w:t>48.155</w:t>
            </w:r>
          </w:p>
        </w:tc>
      </w:tr>
      <w:tr w:rsidR="009C14BC" w:rsidRPr="008F1DBF" w:rsidTr="009C1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9C14BC" w:rsidRPr="00606FE0" w:rsidRDefault="009C14BC" w:rsidP="00450975">
            <w:pPr>
              <w:rPr>
                <w:rFonts w:ascii="Calibri" w:hAnsi="Calibri" w:cs="Times New Roman"/>
                <w:b w:val="0"/>
                <w:i/>
                <w:iCs/>
                <w:color w:val="000000"/>
              </w:rPr>
            </w:pPr>
            <w:proofErr w:type="spellStart"/>
            <w:r w:rsidRPr="00606FE0">
              <w:rPr>
                <w:rFonts w:ascii="Calibri" w:hAnsi="Calibri" w:cs="Times New Roman"/>
                <w:b w:val="0"/>
                <w:i/>
                <w:iCs/>
                <w:color w:val="000000"/>
              </w:rPr>
              <w:t>Blended</w:t>
            </w:r>
            <w:proofErr w:type="spellEnd"/>
          </w:p>
        </w:tc>
        <w:tc>
          <w:tcPr>
            <w:tcW w:w="1165" w:type="dxa"/>
          </w:tcPr>
          <w:p w:rsidR="009C14BC" w:rsidRPr="00C07143" w:rsidRDefault="009C14BC" w:rsidP="009C14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</w:rPr>
            </w:pPr>
            <w:r w:rsidRPr="00E7515B">
              <w:rPr>
                <w:rFonts w:ascii="Calibri" w:hAnsi="Calibri" w:cs="Times New Roman"/>
                <w:b/>
                <w:bCs/>
                <w:color w:val="000000"/>
              </w:rPr>
              <w:t>20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>.</w:t>
            </w:r>
            <w:r w:rsidRPr="00E7515B">
              <w:rPr>
                <w:rFonts w:ascii="Calibri" w:hAnsi="Calibri" w:cs="Times New Roman"/>
                <w:b/>
                <w:bCs/>
                <w:color w:val="000000"/>
              </w:rPr>
              <w:t>05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875" w:type="dxa"/>
          </w:tcPr>
          <w:p w:rsidR="009C14BC" w:rsidRPr="00C07143" w:rsidRDefault="009C14BC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18%</w:t>
            </w:r>
          </w:p>
        </w:tc>
        <w:tc>
          <w:tcPr>
            <w:tcW w:w="1198" w:type="dxa"/>
            <w:hideMark/>
          </w:tcPr>
          <w:p w:rsidR="009C14BC" w:rsidRPr="009C14BC" w:rsidRDefault="009C14BC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9C14BC">
              <w:rPr>
                <w:rFonts w:ascii="Calibri" w:hAnsi="Calibri" w:cs="Times New Roman"/>
              </w:rPr>
              <w:t>12.647</w:t>
            </w:r>
          </w:p>
        </w:tc>
        <w:tc>
          <w:tcPr>
            <w:tcW w:w="723" w:type="dxa"/>
          </w:tcPr>
          <w:p w:rsidR="009C14BC" w:rsidRPr="009C14BC" w:rsidRDefault="009C14BC" w:rsidP="0045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9C14BC">
              <w:rPr>
                <w:rFonts w:ascii="Calibri" w:hAnsi="Calibri" w:cs="Times New Roman"/>
              </w:rPr>
              <w:t>9%</w:t>
            </w:r>
          </w:p>
        </w:tc>
        <w:tc>
          <w:tcPr>
            <w:tcW w:w="1219" w:type="dxa"/>
            <w:noWrap/>
            <w:hideMark/>
          </w:tcPr>
          <w:p w:rsidR="009C14BC" w:rsidRPr="008F1DBF" w:rsidRDefault="009C14BC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8F1DBF">
              <w:rPr>
                <w:rFonts w:ascii="Calibri" w:hAnsi="Calibri" w:cs="Times New Roman"/>
                <w:color w:val="000000"/>
              </w:rPr>
              <w:t>11.807</w:t>
            </w:r>
          </w:p>
        </w:tc>
        <w:tc>
          <w:tcPr>
            <w:tcW w:w="1200" w:type="dxa"/>
            <w:hideMark/>
          </w:tcPr>
          <w:p w:rsidR="009C14BC" w:rsidRPr="008F1DBF" w:rsidRDefault="009C14BC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8F1DBF">
              <w:rPr>
                <w:rFonts w:ascii="Calibri" w:hAnsi="Calibri" w:cs="Times New Roman"/>
                <w:color w:val="000000"/>
              </w:rPr>
              <w:t>9.926</w:t>
            </w:r>
          </w:p>
        </w:tc>
      </w:tr>
      <w:tr w:rsidR="009C14BC" w:rsidRPr="008F1DBF" w:rsidTr="009C14B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:rsidR="009C14BC" w:rsidRPr="00606FE0" w:rsidRDefault="009C14BC" w:rsidP="00450975">
            <w:pPr>
              <w:rPr>
                <w:rFonts w:ascii="Calibri" w:hAnsi="Calibri" w:cs="Times New Roman"/>
                <w:b w:val="0"/>
                <w:color w:val="000000"/>
              </w:rPr>
            </w:pPr>
            <w:r w:rsidRPr="00606FE0">
              <w:rPr>
                <w:rFonts w:ascii="Calibri" w:hAnsi="Calibri" w:cs="Times New Roman"/>
                <w:b w:val="0"/>
                <w:color w:val="000000"/>
              </w:rPr>
              <w:t>Total</w:t>
            </w:r>
          </w:p>
        </w:tc>
        <w:tc>
          <w:tcPr>
            <w:tcW w:w="1165" w:type="dxa"/>
          </w:tcPr>
          <w:p w:rsidR="009C14BC" w:rsidRPr="00C07143" w:rsidRDefault="009C14BC" w:rsidP="009C14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113.420</w:t>
            </w:r>
          </w:p>
        </w:tc>
        <w:tc>
          <w:tcPr>
            <w:tcW w:w="875" w:type="dxa"/>
          </w:tcPr>
          <w:p w:rsidR="009C14BC" w:rsidRPr="00C07143" w:rsidRDefault="009C14BC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98" w:type="dxa"/>
            <w:hideMark/>
          </w:tcPr>
          <w:p w:rsidR="009C14BC" w:rsidRPr="009C14BC" w:rsidRDefault="009C14BC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</w:rPr>
            </w:pPr>
            <w:r w:rsidRPr="009C14BC">
              <w:rPr>
                <w:rFonts w:ascii="Calibri" w:hAnsi="Calibri" w:cs="Times New Roman"/>
                <w:bCs/>
              </w:rPr>
              <w:t>135.138</w:t>
            </w:r>
          </w:p>
        </w:tc>
        <w:tc>
          <w:tcPr>
            <w:tcW w:w="723" w:type="dxa"/>
          </w:tcPr>
          <w:p w:rsidR="009C14BC" w:rsidRPr="009C14BC" w:rsidRDefault="009C14BC" w:rsidP="00450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219" w:type="dxa"/>
            <w:noWrap/>
            <w:hideMark/>
          </w:tcPr>
          <w:p w:rsidR="009C14BC" w:rsidRPr="008F1DBF" w:rsidRDefault="009C14BC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8F1DBF">
              <w:rPr>
                <w:rFonts w:ascii="Calibri" w:hAnsi="Calibri" w:cs="Times New Roman"/>
                <w:color w:val="000000"/>
              </w:rPr>
              <w:t>116.322,38</w:t>
            </w:r>
          </w:p>
        </w:tc>
        <w:tc>
          <w:tcPr>
            <w:tcW w:w="1200" w:type="dxa"/>
            <w:hideMark/>
          </w:tcPr>
          <w:p w:rsidR="009C14BC" w:rsidRPr="008F1DBF" w:rsidRDefault="009C14BC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8F1DBF">
              <w:rPr>
                <w:rFonts w:ascii="Calibri" w:hAnsi="Calibri" w:cs="Times New Roman"/>
                <w:color w:val="000000"/>
              </w:rPr>
              <w:t>111.708</w:t>
            </w:r>
          </w:p>
        </w:tc>
      </w:tr>
      <w:bookmarkEnd w:id="0"/>
    </w:tbl>
    <w:p w:rsidR="001B27DB" w:rsidRDefault="001B27DB" w:rsidP="001B27DB">
      <w:pPr>
        <w:rPr>
          <w:rFonts w:eastAsiaTheme="minorHAnsi"/>
          <w:color w:val="000000"/>
          <w:sz w:val="20"/>
          <w:szCs w:val="20"/>
          <w:lang w:eastAsia="en-US"/>
        </w:rPr>
      </w:pPr>
    </w:p>
    <w:p w:rsidR="001B27DB" w:rsidRDefault="001B27DB" w:rsidP="001B27DB">
      <w:pPr>
        <w:rPr>
          <w:rFonts w:eastAsiaTheme="minorHAnsi"/>
          <w:color w:val="000000"/>
          <w:sz w:val="20"/>
          <w:szCs w:val="20"/>
          <w:lang w:eastAsia="en-US"/>
        </w:rPr>
      </w:pPr>
    </w:p>
    <w:p w:rsidR="001B27DB" w:rsidRPr="00CB2571" w:rsidRDefault="001B27DB" w:rsidP="001B27DB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CB2571">
        <w:rPr>
          <w:rFonts w:eastAsiaTheme="minorHAnsi"/>
          <w:color w:val="000000"/>
          <w:szCs w:val="20"/>
          <w:lang w:eastAsia="en-US"/>
        </w:rPr>
        <w:t xml:space="preserve">En cuanto al </w:t>
      </w:r>
      <w:r w:rsidRPr="00CB2571">
        <w:rPr>
          <w:rFonts w:eastAsiaTheme="minorHAnsi"/>
          <w:b/>
          <w:color w:val="000000"/>
          <w:szCs w:val="20"/>
          <w:lang w:eastAsia="en-US"/>
        </w:rPr>
        <w:t>número de cursos y ediciones</w:t>
      </w:r>
      <w:r w:rsidRPr="00CB2571">
        <w:rPr>
          <w:rFonts w:eastAsiaTheme="minorHAnsi"/>
          <w:color w:val="000000"/>
          <w:szCs w:val="20"/>
          <w:lang w:eastAsia="en-US"/>
        </w:rPr>
        <w:t xml:space="preserve"> (acciones formativas planificadas) internas y externas, es decir aquellas que se organizan in-</w:t>
      </w:r>
      <w:proofErr w:type="spellStart"/>
      <w:r w:rsidRPr="00CB2571">
        <w:rPr>
          <w:rFonts w:eastAsiaTheme="minorHAnsi"/>
          <w:color w:val="000000"/>
          <w:szCs w:val="20"/>
          <w:lang w:eastAsia="en-US"/>
        </w:rPr>
        <w:t>company</w:t>
      </w:r>
      <w:proofErr w:type="spellEnd"/>
      <w:r w:rsidRPr="00CB2571">
        <w:rPr>
          <w:rFonts w:eastAsiaTheme="minorHAnsi"/>
          <w:color w:val="000000"/>
          <w:szCs w:val="20"/>
          <w:lang w:eastAsia="en-US"/>
        </w:rPr>
        <w:t xml:space="preserve"> frente a las que no </w:t>
      </w:r>
      <w:r w:rsidRPr="00CB2571">
        <w:rPr>
          <w:rFonts w:eastAsiaTheme="minorHAnsi"/>
          <w:color w:val="000000"/>
          <w:lang w:eastAsia="en-US"/>
        </w:rPr>
        <w:t xml:space="preserve">han sido ofertadas por </w:t>
      </w:r>
      <w:proofErr w:type="spellStart"/>
      <w:r w:rsidRPr="00CB2571">
        <w:rPr>
          <w:rFonts w:eastAsiaTheme="minorHAnsi"/>
          <w:color w:val="000000"/>
          <w:lang w:eastAsia="en-US"/>
        </w:rPr>
        <w:t>Asepeyo</w:t>
      </w:r>
      <w:proofErr w:type="spellEnd"/>
      <w:r w:rsidRPr="00CB2571">
        <w:rPr>
          <w:rFonts w:eastAsiaTheme="minorHAnsi"/>
          <w:color w:val="000000"/>
          <w:lang w:eastAsia="en-US"/>
        </w:rPr>
        <w:t xml:space="preserve"> (ni por catálogo ni por programa formativo)  y son solicitadas vía el Petitorio de Acciones formativas externas. Diferenciamos cursos de los que se derivan las ediciones (número de sesiones de un mismo curso con distinta planificación). Este </w:t>
      </w:r>
      <w:r w:rsidR="00691F55">
        <w:rPr>
          <w:rFonts w:eastAsiaTheme="minorHAnsi"/>
          <w:color w:val="000000"/>
          <w:lang w:eastAsia="en-US"/>
        </w:rPr>
        <w:t>se mantiene el</w:t>
      </w:r>
      <w:r w:rsidRPr="00CB2571">
        <w:rPr>
          <w:rFonts w:eastAsiaTheme="minorHAnsi"/>
          <w:color w:val="000000"/>
          <w:lang w:eastAsia="en-US"/>
        </w:rPr>
        <w:t xml:space="preserve"> incremento en la formación externa </w:t>
      </w:r>
      <w:r w:rsidR="00691F55">
        <w:rPr>
          <w:rFonts w:eastAsiaTheme="minorHAnsi"/>
          <w:color w:val="000000"/>
          <w:lang w:eastAsia="en-US"/>
        </w:rPr>
        <w:t>frente a</w:t>
      </w:r>
      <w:r w:rsidRPr="00CB2571">
        <w:rPr>
          <w:rFonts w:eastAsiaTheme="minorHAnsi"/>
          <w:color w:val="000000"/>
          <w:lang w:eastAsia="en-US"/>
        </w:rPr>
        <w:t xml:space="preserve"> la formación interna.</w:t>
      </w:r>
    </w:p>
    <w:p w:rsidR="001B27DB" w:rsidRDefault="001B27DB" w:rsidP="001B27DB">
      <w:pPr>
        <w:rPr>
          <w:rFonts w:eastAsiaTheme="minorHAnsi"/>
          <w:color w:val="000000"/>
          <w:sz w:val="20"/>
          <w:szCs w:val="20"/>
          <w:lang w:eastAsia="en-US"/>
        </w:rPr>
      </w:pPr>
    </w:p>
    <w:tbl>
      <w:tblPr>
        <w:tblStyle w:val="Cuadrculamedia1-nfasis1"/>
        <w:tblW w:w="9212" w:type="dxa"/>
        <w:tblLayout w:type="fixed"/>
        <w:tblLook w:val="04A0" w:firstRow="1" w:lastRow="0" w:firstColumn="1" w:lastColumn="0" w:noHBand="0" w:noVBand="1"/>
      </w:tblPr>
      <w:tblGrid>
        <w:gridCol w:w="1583"/>
        <w:gridCol w:w="1279"/>
        <w:gridCol w:w="1264"/>
        <w:gridCol w:w="1264"/>
        <w:gridCol w:w="1264"/>
        <w:gridCol w:w="15"/>
        <w:gridCol w:w="1249"/>
        <w:gridCol w:w="1264"/>
        <w:gridCol w:w="30"/>
      </w:tblGrid>
      <w:tr w:rsidR="00E7515B" w:rsidRPr="000739B7" w:rsidTr="00E75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noWrap/>
          </w:tcPr>
          <w:p w:rsidR="00E7515B" w:rsidRPr="000739B7" w:rsidRDefault="00E7515B" w:rsidP="00450975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543" w:type="dxa"/>
            <w:gridSpan w:val="2"/>
            <w:noWrap/>
          </w:tcPr>
          <w:p w:rsidR="00E7515B" w:rsidRPr="00A53BF1" w:rsidRDefault="00E7515B" w:rsidP="00450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bCs w:val="0"/>
                <w:color w:val="FFFFFF" w:themeColor="background1"/>
              </w:rPr>
            </w:pPr>
            <w:r>
              <w:rPr>
                <w:rFonts w:ascii="Calibri" w:hAnsi="Calibri" w:cs="Times New Roman"/>
                <w:b w:val="0"/>
                <w:bCs w:val="0"/>
                <w:color w:val="FFFFFF" w:themeColor="background1"/>
              </w:rPr>
              <w:t>2016</w:t>
            </w:r>
          </w:p>
        </w:tc>
        <w:tc>
          <w:tcPr>
            <w:tcW w:w="2543" w:type="dxa"/>
            <w:gridSpan w:val="3"/>
          </w:tcPr>
          <w:p w:rsidR="00E7515B" w:rsidRPr="00E7515B" w:rsidRDefault="00E7515B" w:rsidP="00450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bCs w:val="0"/>
                <w:color w:val="FFFFFF" w:themeColor="background1"/>
              </w:rPr>
            </w:pPr>
            <w:r w:rsidRPr="00E7515B">
              <w:rPr>
                <w:rFonts w:ascii="Calibri" w:hAnsi="Calibri" w:cs="Times New Roman"/>
                <w:b w:val="0"/>
                <w:bCs w:val="0"/>
                <w:color w:val="FFFFFF" w:themeColor="background1"/>
              </w:rPr>
              <w:t>2017</w:t>
            </w:r>
          </w:p>
        </w:tc>
        <w:tc>
          <w:tcPr>
            <w:tcW w:w="2543" w:type="dxa"/>
            <w:gridSpan w:val="3"/>
          </w:tcPr>
          <w:p w:rsidR="00E7515B" w:rsidRPr="00E7515B" w:rsidRDefault="00E7515B" w:rsidP="00E75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 w:val="0"/>
                <w:color w:val="FFFFFF" w:themeColor="background1"/>
              </w:rPr>
            </w:pPr>
            <w:r w:rsidRPr="00E7515B">
              <w:rPr>
                <w:rFonts w:ascii="Calibri" w:hAnsi="Calibri" w:cs="Times New Roman"/>
                <w:bCs w:val="0"/>
                <w:color w:val="4F81BD" w:themeColor="accent1"/>
              </w:rPr>
              <w:t>2018</w:t>
            </w:r>
          </w:p>
        </w:tc>
      </w:tr>
      <w:tr w:rsidR="00E7515B" w:rsidRPr="000739B7" w:rsidTr="00E751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noWrap/>
            <w:hideMark/>
          </w:tcPr>
          <w:p w:rsidR="00E7515B" w:rsidRPr="000739B7" w:rsidRDefault="00E7515B" w:rsidP="00450975">
            <w:pPr>
              <w:rPr>
                <w:rFonts w:ascii="Calibri" w:hAnsi="Calibri" w:cs="Times New Roman"/>
                <w:color w:val="000000"/>
              </w:rPr>
            </w:pPr>
            <w:r w:rsidRPr="000739B7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E7515B" w:rsidRPr="000739B7" w:rsidRDefault="00E7515B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color w:val="FFFFFF"/>
              </w:rPr>
            </w:pPr>
            <w:r w:rsidRPr="000739B7">
              <w:rPr>
                <w:rFonts w:ascii="Calibri" w:hAnsi="Calibri" w:cs="Times New Roman"/>
                <w:b/>
                <w:bCs/>
                <w:color w:val="FFFFFF"/>
              </w:rPr>
              <w:t>CURSOS</w:t>
            </w:r>
          </w:p>
        </w:tc>
        <w:tc>
          <w:tcPr>
            <w:tcW w:w="1264" w:type="dxa"/>
          </w:tcPr>
          <w:p w:rsidR="00E7515B" w:rsidRPr="000739B7" w:rsidRDefault="00E7515B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color w:val="FFFFFF"/>
              </w:rPr>
            </w:pPr>
            <w:r w:rsidRPr="000739B7">
              <w:rPr>
                <w:rFonts w:ascii="Calibri" w:hAnsi="Calibri" w:cs="Times New Roman"/>
                <w:b/>
                <w:bCs/>
                <w:color w:val="FFFFFF"/>
              </w:rPr>
              <w:t>SESIONES</w:t>
            </w:r>
          </w:p>
        </w:tc>
        <w:tc>
          <w:tcPr>
            <w:tcW w:w="1264" w:type="dxa"/>
          </w:tcPr>
          <w:p w:rsidR="00E7515B" w:rsidRPr="00E7515B" w:rsidRDefault="00E7515B" w:rsidP="00E751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FFFFFF"/>
              </w:rPr>
            </w:pPr>
            <w:r w:rsidRPr="00E7515B">
              <w:rPr>
                <w:rFonts w:ascii="Calibri" w:hAnsi="Calibri" w:cs="Times New Roman"/>
                <w:bCs/>
                <w:color w:val="FFFFFF"/>
              </w:rPr>
              <w:t>CURSOS</w:t>
            </w:r>
          </w:p>
        </w:tc>
        <w:tc>
          <w:tcPr>
            <w:tcW w:w="1264" w:type="dxa"/>
          </w:tcPr>
          <w:p w:rsidR="00E7515B" w:rsidRPr="00E7515B" w:rsidRDefault="00E7515B" w:rsidP="00E751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FFFFFF"/>
              </w:rPr>
            </w:pPr>
            <w:r w:rsidRPr="00E7515B">
              <w:rPr>
                <w:rFonts w:ascii="Calibri" w:hAnsi="Calibri" w:cs="Times New Roman"/>
                <w:bCs/>
                <w:color w:val="FFFFFF"/>
              </w:rPr>
              <w:t>SESIONES</w:t>
            </w:r>
          </w:p>
        </w:tc>
        <w:tc>
          <w:tcPr>
            <w:tcW w:w="1264" w:type="dxa"/>
            <w:gridSpan w:val="2"/>
          </w:tcPr>
          <w:p w:rsidR="00E7515B" w:rsidRPr="00E7515B" w:rsidRDefault="00E7515B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color w:val="4F81BD" w:themeColor="accent1"/>
              </w:rPr>
            </w:pPr>
            <w:r w:rsidRPr="00E7515B">
              <w:rPr>
                <w:rFonts w:ascii="Calibri" w:hAnsi="Calibri" w:cs="Times New Roman"/>
                <w:b/>
                <w:bCs/>
                <w:color w:val="4F81BD" w:themeColor="accent1"/>
              </w:rPr>
              <w:t>CURSOS</w:t>
            </w:r>
          </w:p>
        </w:tc>
        <w:tc>
          <w:tcPr>
            <w:tcW w:w="1264" w:type="dxa"/>
            <w:noWrap/>
            <w:hideMark/>
          </w:tcPr>
          <w:p w:rsidR="00E7515B" w:rsidRPr="00E7515B" w:rsidRDefault="00E7515B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color w:val="4F81BD" w:themeColor="accent1"/>
              </w:rPr>
            </w:pPr>
            <w:r w:rsidRPr="00E7515B">
              <w:rPr>
                <w:rFonts w:ascii="Calibri" w:hAnsi="Calibri" w:cs="Times New Roman"/>
                <w:b/>
                <w:bCs/>
                <w:color w:val="4F81BD" w:themeColor="accent1"/>
              </w:rPr>
              <w:t>SESIONES</w:t>
            </w:r>
          </w:p>
        </w:tc>
      </w:tr>
      <w:tr w:rsidR="00E7515B" w:rsidRPr="000739B7" w:rsidTr="00E7515B">
        <w:trPr>
          <w:gridAfter w:val="1"/>
          <w:wAfter w:w="3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noWrap/>
            <w:hideMark/>
          </w:tcPr>
          <w:p w:rsidR="00E7515B" w:rsidRPr="000739B7" w:rsidRDefault="00E7515B" w:rsidP="00450975">
            <w:pPr>
              <w:rPr>
                <w:rFonts w:ascii="Calibri" w:hAnsi="Calibri" w:cs="Times New Roman"/>
                <w:color w:val="000000"/>
              </w:rPr>
            </w:pPr>
            <w:r w:rsidRPr="000739B7">
              <w:rPr>
                <w:rFonts w:ascii="Calibri" w:hAnsi="Calibri" w:cs="Times New Roman"/>
                <w:color w:val="000000"/>
              </w:rPr>
              <w:t>INTERNOS</w:t>
            </w:r>
          </w:p>
        </w:tc>
        <w:tc>
          <w:tcPr>
            <w:tcW w:w="1279" w:type="dxa"/>
            <w:noWrap/>
            <w:hideMark/>
          </w:tcPr>
          <w:p w:rsidR="00E7515B" w:rsidRPr="000739B7" w:rsidRDefault="00E7515B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739B7">
              <w:rPr>
                <w:rFonts w:ascii="Calibri" w:hAnsi="Calibri" w:cs="Times New Roman"/>
                <w:color w:val="000000"/>
              </w:rPr>
              <w:t>330</w:t>
            </w:r>
          </w:p>
        </w:tc>
        <w:tc>
          <w:tcPr>
            <w:tcW w:w="1264" w:type="dxa"/>
          </w:tcPr>
          <w:p w:rsidR="00E7515B" w:rsidRPr="000739B7" w:rsidRDefault="00E7515B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739B7">
              <w:rPr>
                <w:rFonts w:ascii="Calibri" w:hAnsi="Calibri" w:cs="Times New Roman"/>
                <w:color w:val="000000"/>
              </w:rPr>
              <w:t>978</w:t>
            </w:r>
          </w:p>
        </w:tc>
        <w:tc>
          <w:tcPr>
            <w:tcW w:w="1264" w:type="dxa"/>
          </w:tcPr>
          <w:p w:rsidR="00E7515B" w:rsidRPr="00E7515B" w:rsidRDefault="00E7515B" w:rsidP="00E751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E7515B">
              <w:rPr>
                <w:rFonts w:ascii="Calibri" w:hAnsi="Calibri" w:cs="Times New Roman"/>
                <w:color w:val="000000"/>
              </w:rPr>
              <w:t>281 (36%)</w:t>
            </w:r>
          </w:p>
        </w:tc>
        <w:tc>
          <w:tcPr>
            <w:tcW w:w="1264" w:type="dxa"/>
          </w:tcPr>
          <w:p w:rsidR="00E7515B" w:rsidRPr="00E7515B" w:rsidRDefault="00E7515B" w:rsidP="00E751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E7515B">
              <w:rPr>
                <w:rFonts w:ascii="Calibri" w:hAnsi="Calibri" w:cs="Times New Roman"/>
                <w:color w:val="000000"/>
              </w:rPr>
              <w:t>527 (45%)</w:t>
            </w:r>
          </w:p>
        </w:tc>
        <w:tc>
          <w:tcPr>
            <w:tcW w:w="1264" w:type="dxa"/>
            <w:gridSpan w:val="2"/>
          </w:tcPr>
          <w:p w:rsidR="00E7515B" w:rsidRPr="00A53BF1" w:rsidRDefault="00E7515B" w:rsidP="00E751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352 (39%)</w:t>
            </w:r>
          </w:p>
        </w:tc>
        <w:tc>
          <w:tcPr>
            <w:tcW w:w="1264" w:type="dxa"/>
            <w:noWrap/>
          </w:tcPr>
          <w:p w:rsidR="00E7515B" w:rsidRPr="00E7515B" w:rsidRDefault="00A350B8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773 (58%)</w:t>
            </w:r>
          </w:p>
        </w:tc>
      </w:tr>
      <w:tr w:rsidR="00E7515B" w:rsidRPr="000739B7" w:rsidTr="00E751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noWrap/>
            <w:hideMark/>
          </w:tcPr>
          <w:p w:rsidR="00E7515B" w:rsidRPr="000739B7" w:rsidRDefault="00E7515B" w:rsidP="00450975">
            <w:pPr>
              <w:rPr>
                <w:rFonts w:ascii="Calibri" w:hAnsi="Calibri" w:cs="Times New Roman"/>
                <w:color w:val="000000"/>
              </w:rPr>
            </w:pPr>
            <w:r w:rsidRPr="000739B7">
              <w:rPr>
                <w:rFonts w:ascii="Calibri" w:hAnsi="Calibri" w:cs="Times New Roman"/>
                <w:color w:val="000000"/>
              </w:rPr>
              <w:t>EXTERNOS</w:t>
            </w:r>
          </w:p>
        </w:tc>
        <w:tc>
          <w:tcPr>
            <w:tcW w:w="1279" w:type="dxa"/>
            <w:noWrap/>
            <w:hideMark/>
          </w:tcPr>
          <w:p w:rsidR="00E7515B" w:rsidRPr="000739B7" w:rsidRDefault="00E7515B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739B7">
              <w:rPr>
                <w:rFonts w:ascii="Calibri" w:hAnsi="Calibri" w:cs="Times New Roman"/>
                <w:color w:val="000000"/>
              </w:rPr>
              <w:t>432</w:t>
            </w:r>
          </w:p>
        </w:tc>
        <w:tc>
          <w:tcPr>
            <w:tcW w:w="1264" w:type="dxa"/>
          </w:tcPr>
          <w:p w:rsidR="00E7515B" w:rsidRPr="000739B7" w:rsidRDefault="00E7515B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739B7">
              <w:rPr>
                <w:rFonts w:ascii="Calibri" w:hAnsi="Calibri" w:cs="Times New Roman"/>
                <w:color w:val="000000"/>
              </w:rPr>
              <w:t>448</w:t>
            </w:r>
          </w:p>
        </w:tc>
        <w:tc>
          <w:tcPr>
            <w:tcW w:w="1264" w:type="dxa"/>
          </w:tcPr>
          <w:p w:rsidR="00E7515B" w:rsidRPr="00E7515B" w:rsidRDefault="00E7515B" w:rsidP="00E751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E7515B">
              <w:rPr>
                <w:rFonts w:ascii="Calibri" w:hAnsi="Calibri" w:cs="Times New Roman"/>
                <w:color w:val="000000"/>
              </w:rPr>
              <w:t>508 (64%)</w:t>
            </w:r>
          </w:p>
        </w:tc>
        <w:tc>
          <w:tcPr>
            <w:tcW w:w="1264" w:type="dxa"/>
          </w:tcPr>
          <w:p w:rsidR="00E7515B" w:rsidRPr="00E7515B" w:rsidRDefault="00E7515B" w:rsidP="00E751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E7515B">
              <w:rPr>
                <w:rFonts w:ascii="Calibri" w:hAnsi="Calibri" w:cs="Times New Roman"/>
                <w:color w:val="000000"/>
              </w:rPr>
              <w:t>1179 (55%)</w:t>
            </w:r>
          </w:p>
        </w:tc>
        <w:tc>
          <w:tcPr>
            <w:tcW w:w="1264" w:type="dxa"/>
            <w:gridSpan w:val="2"/>
          </w:tcPr>
          <w:p w:rsidR="00E7515B" w:rsidRPr="00A53BF1" w:rsidRDefault="00E7515B" w:rsidP="00E751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548 (60%)</w:t>
            </w:r>
          </w:p>
        </w:tc>
        <w:tc>
          <w:tcPr>
            <w:tcW w:w="1264" w:type="dxa"/>
            <w:noWrap/>
          </w:tcPr>
          <w:p w:rsidR="00E7515B" w:rsidRPr="00E7515B" w:rsidRDefault="00A350B8" w:rsidP="00450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556 (42%)</w:t>
            </w:r>
          </w:p>
        </w:tc>
      </w:tr>
      <w:tr w:rsidR="00E7515B" w:rsidRPr="000739B7" w:rsidTr="00E7515B">
        <w:trPr>
          <w:gridAfter w:val="1"/>
          <w:wAfter w:w="3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noWrap/>
            <w:hideMark/>
          </w:tcPr>
          <w:p w:rsidR="00E7515B" w:rsidRPr="000739B7" w:rsidRDefault="00E7515B" w:rsidP="00450975">
            <w:pPr>
              <w:rPr>
                <w:rFonts w:ascii="Calibri" w:hAnsi="Calibri" w:cs="Times New Roman"/>
                <w:b w:val="0"/>
                <w:bCs w:val="0"/>
                <w:color w:val="000000"/>
              </w:rPr>
            </w:pPr>
            <w:r w:rsidRPr="000739B7">
              <w:rPr>
                <w:rFonts w:ascii="Calibri" w:hAnsi="Calibri" w:cs="Times New Roman"/>
                <w:b w:val="0"/>
                <w:bCs w:val="0"/>
                <w:color w:val="000000"/>
              </w:rPr>
              <w:t>TOTAL</w:t>
            </w:r>
          </w:p>
        </w:tc>
        <w:tc>
          <w:tcPr>
            <w:tcW w:w="1279" w:type="dxa"/>
            <w:noWrap/>
            <w:hideMark/>
          </w:tcPr>
          <w:p w:rsidR="00E7515B" w:rsidRPr="00A53BF1" w:rsidRDefault="00E7515B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</w:rPr>
            </w:pPr>
            <w:r w:rsidRPr="00A53BF1">
              <w:rPr>
                <w:rFonts w:ascii="Calibri" w:hAnsi="Calibri" w:cs="Times New Roman"/>
                <w:bCs/>
                <w:color w:val="000000"/>
              </w:rPr>
              <w:t>762</w:t>
            </w:r>
          </w:p>
        </w:tc>
        <w:tc>
          <w:tcPr>
            <w:tcW w:w="1264" w:type="dxa"/>
          </w:tcPr>
          <w:p w:rsidR="00E7515B" w:rsidRPr="00A53BF1" w:rsidRDefault="00E7515B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</w:rPr>
            </w:pPr>
            <w:r w:rsidRPr="00A53BF1">
              <w:rPr>
                <w:rFonts w:ascii="Calibri" w:hAnsi="Calibri" w:cs="Times New Roman"/>
                <w:bCs/>
                <w:color w:val="000000"/>
              </w:rPr>
              <w:t>1426</w:t>
            </w:r>
          </w:p>
        </w:tc>
        <w:tc>
          <w:tcPr>
            <w:tcW w:w="1264" w:type="dxa"/>
          </w:tcPr>
          <w:p w:rsidR="00E7515B" w:rsidRPr="00E7515B" w:rsidRDefault="00E7515B" w:rsidP="00E751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</w:rPr>
            </w:pPr>
            <w:r w:rsidRPr="00E7515B">
              <w:rPr>
                <w:rFonts w:ascii="Calibri" w:hAnsi="Calibri" w:cs="Times New Roman"/>
                <w:bCs/>
                <w:color w:val="000000"/>
              </w:rPr>
              <w:t>789</w:t>
            </w:r>
          </w:p>
        </w:tc>
        <w:tc>
          <w:tcPr>
            <w:tcW w:w="1264" w:type="dxa"/>
          </w:tcPr>
          <w:p w:rsidR="00E7515B" w:rsidRPr="00E7515B" w:rsidRDefault="00E7515B" w:rsidP="00E751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</w:rPr>
            </w:pPr>
            <w:r w:rsidRPr="00E7515B">
              <w:rPr>
                <w:rFonts w:ascii="Calibri" w:hAnsi="Calibri" w:cs="Times New Roman"/>
                <w:bCs/>
                <w:color w:val="000000"/>
              </w:rPr>
              <w:t>1706</w:t>
            </w:r>
          </w:p>
        </w:tc>
        <w:tc>
          <w:tcPr>
            <w:tcW w:w="1264" w:type="dxa"/>
            <w:gridSpan w:val="2"/>
          </w:tcPr>
          <w:p w:rsidR="00E7515B" w:rsidRPr="00A53BF1" w:rsidRDefault="00E7515B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900</w:t>
            </w:r>
          </w:p>
        </w:tc>
        <w:tc>
          <w:tcPr>
            <w:tcW w:w="1264" w:type="dxa"/>
            <w:noWrap/>
          </w:tcPr>
          <w:p w:rsidR="00E7515B" w:rsidRPr="00E7515B" w:rsidRDefault="00F969ED" w:rsidP="004509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1329</w:t>
            </w:r>
          </w:p>
        </w:tc>
      </w:tr>
    </w:tbl>
    <w:p w:rsidR="00E7515B" w:rsidRDefault="00E7515B" w:rsidP="001B27DB">
      <w:pPr>
        <w:rPr>
          <w:b/>
          <w:sz w:val="20"/>
          <w:szCs w:val="20"/>
        </w:rPr>
      </w:pPr>
    </w:p>
    <w:p w:rsidR="00A350B8" w:rsidRPr="00A350B8" w:rsidRDefault="00A350B8" w:rsidP="00A350B8">
      <w:pPr>
        <w:spacing w:line="360" w:lineRule="auto"/>
        <w:jc w:val="both"/>
        <w:rPr>
          <w:b/>
          <w:szCs w:val="20"/>
        </w:rPr>
      </w:pPr>
    </w:p>
    <w:p w:rsidR="00A350B8" w:rsidRPr="00A350B8" w:rsidRDefault="00A350B8" w:rsidP="00A350B8">
      <w:pPr>
        <w:spacing w:line="360" w:lineRule="auto"/>
        <w:jc w:val="both"/>
        <w:rPr>
          <w:szCs w:val="20"/>
        </w:rPr>
      </w:pPr>
      <w:r w:rsidRPr="00A350B8">
        <w:rPr>
          <w:szCs w:val="20"/>
        </w:rPr>
        <w:t>La distribución de cursos por escuelas diferenciando internos y externos es la que observamos en el siguiente gráfico</w:t>
      </w:r>
      <w:r>
        <w:rPr>
          <w:szCs w:val="20"/>
        </w:rPr>
        <w:t>:</w:t>
      </w:r>
    </w:p>
    <w:p w:rsidR="00A350B8" w:rsidRDefault="00A350B8" w:rsidP="001B27DB">
      <w:pPr>
        <w:rPr>
          <w:b/>
          <w:sz w:val="20"/>
          <w:szCs w:val="20"/>
        </w:rPr>
      </w:pPr>
    </w:p>
    <w:p w:rsidR="00A350B8" w:rsidRDefault="00A350B8" w:rsidP="001B27DB">
      <w:pPr>
        <w:rPr>
          <w:b/>
          <w:sz w:val="20"/>
          <w:szCs w:val="20"/>
        </w:rPr>
      </w:pPr>
    </w:p>
    <w:p w:rsidR="00E7515B" w:rsidRDefault="00E7515B" w:rsidP="001B27DB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3D0AA2B" wp14:editId="5F8645F4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515B" w:rsidRDefault="00E7515B" w:rsidP="001B27DB">
      <w:pPr>
        <w:rPr>
          <w:b/>
          <w:sz w:val="20"/>
          <w:szCs w:val="20"/>
        </w:rPr>
      </w:pPr>
    </w:p>
    <w:p w:rsidR="00E7515B" w:rsidRDefault="00E7515B" w:rsidP="001B27DB">
      <w:pPr>
        <w:rPr>
          <w:b/>
          <w:sz w:val="20"/>
          <w:szCs w:val="20"/>
        </w:rPr>
      </w:pPr>
    </w:p>
    <w:p w:rsidR="00E7515B" w:rsidRDefault="00E7515B" w:rsidP="001B27DB">
      <w:pPr>
        <w:rPr>
          <w:b/>
          <w:sz w:val="20"/>
          <w:szCs w:val="20"/>
        </w:rPr>
      </w:pPr>
    </w:p>
    <w:p w:rsidR="00E7515B" w:rsidRDefault="00E7515B" w:rsidP="001B27DB">
      <w:pPr>
        <w:rPr>
          <w:b/>
          <w:sz w:val="20"/>
          <w:szCs w:val="20"/>
        </w:rPr>
      </w:pPr>
    </w:p>
    <w:p w:rsidR="001B27DB" w:rsidRPr="00403E98" w:rsidRDefault="001B27DB" w:rsidP="00403E98">
      <w:pPr>
        <w:spacing w:line="360" w:lineRule="auto"/>
        <w:jc w:val="both"/>
        <w:rPr>
          <w:b/>
        </w:rPr>
      </w:pPr>
      <w:r w:rsidRPr="00403E98">
        <w:rPr>
          <w:b/>
        </w:rPr>
        <w:lastRenderedPageBreak/>
        <w:t xml:space="preserve">Distribución por sexos: </w:t>
      </w:r>
    </w:p>
    <w:p w:rsidR="001B27DB" w:rsidRPr="00403E98" w:rsidRDefault="001B27DB" w:rsidP="00403E98">
      <w:pPr>
        <w:spacing w:line="360" w:lineRule="auto"/>
        <w:jc w:val="both"/>
        <w:rPr>
          <w:b/>
        </w:rPr>
      </w:pPr>
    </w:p>
    <w:p w:rsidR="001B27DB" w:rsidRPr="00403E98" w:rsidRDefault="001B27DB" w:rsidP="00403E98">
      <w:pPr>
        <w:spacing w:line="360" w:lineRule="auto"/>
        <w:jc w:val="both"/>
        <w:rPr>
          <w:b/>
        </w:rPr>
      </w:pPr>
      <w:r w:rsidRPr="00403E98">
        <w:t>En cuanto a la distribución</w:t>
      </w:r>
      <w:r w:rsidR="00691F55" w:rsidRPr="00403E98">
        <w:t xml:space="preserve"> de las horas de formación </w:t>
      </w:r>
      <w:r w:rsidRPr="00403E98">
        <w:t>por sexos</w:t>
      </w:r>
      <w:r w:rsidR="00691F55" w:rsidRPr="00403E98">
        <w:t>,</w:t>
      </w:r>
      <w:r w:rsidRPr="00403E98">
        <w:t xml:space="preserve"> se mantiene el nivel de mujeres formadas sobre hombres, directamente proporcional a l</w:t>
      </w:r>
      <w:r w:rsidR="00691F55" w:rsidRPr="00403E98">
        <w:t>a distribución de la plantilla.</w:t>
      </w:r>
    </w:p>
    <w:p w:rsidR="001B27DB" w:rsidRDefault="001B27DB" w:rsidP="001B27DB">
      <w:pPr>
        <w:rPr>
          <w:b/>
          <w:sz w:val="28"/>
          <w:szCs w:val="28"/>
        </w:rPr>
      </w:pPr>
    </w:p>
    <w:p w:rsidR="00691F55" w:rsidRDefault="00691F55" w:rsidP="00691F5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81CDBC" wp14:editId="46EDA649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1F55" w:rsidRDefault="00691F55" w:rsidP="001B27DB">
      <w:pPr>
        <w:rPr>
          <w:b/>
          <w:sz w:val="28"/>
          <w:szCs w:val="28"/>
        </w:rPr>
      </w:pPr>
    </w:p>
    <w:p w:rsidR="00403E98" w:rsidRDefault="00403E98" w:rsidP="001B27DB">
      <w:pPr>
        <w:rPr>
          <w:b/>
          <w:sz w:val="28"/>
          <w:szCs w:val="28"/>
        </w:rPr>
      </w:pPr>
    </w:p>
    <w:p w:rsidR="00403E98" w:rsidRDefault="00403E98" w:rsidP="001B27DB">
      <w:pPr>
        <w:rPr>
          <w:b/>
          <w:szCs w:val="28"/>
        </w:rPr>
      </w:pPr>
    </w:p>
    <w:p w:rsidR="001B27DB" w:rsidRDefault="001B27DB" w:rsidP="001B27DB">
      <w:pPr>
        <w:rPr>
          <w:b/>
          <w:szCs w:val="28"/>
        </w:rPr>
      </w:pPr>
      <w:r w:rsidRPr="00522548">
        <w:rPr>
          <w:b/>
          <w:szCs w:val="28"/>
        </w:rPr>
        <w:t>Distribución por escuelas:</w:t>
      </w:r>
    </w:p>
    <w:p w:rsidR="001B27DB" w:rsidRDefault="001B27DB" w:rsidP="001B27DB">
      <w:pPr>
        <w:rPr>
          <w:b/>
          <w:szCs w:val="28"/>
        </w:rPr>
      </w:pPr>
    </w:p>
    <w:p w:rsidR="00403E98" w:rsidRDefault="00403E98" w:rsidP="001B27DB">
      <w:pPr>
        <w:rPr>
          <w:b/>
          <w:szCs w:val="28"/>
        </w:rPr>
      </w:pPr>
    </w:p>
    <w:p w:rsidR="001B27DB" w:rsidRDefault="001B27DB" w:rsidP="00403E98">
      <w:pPr>
        <w:spacing w:line="360" w:lineRule="auto"/>
        <w:rPr>
          <w:szCs w:val="28"/>
        </w:rPr>
      </w:pPr>
      <w:r>
        <w:rPr>
          <w:szCs w:val="28"/>
        </w:rPr>
        <w:t>En lo que respecta a las áreas de conocimiento, la distribución ha sido la siguiente:</w:t>
      </w:r>
    </w:p>
    <w:p w:rsidR="001B27DB" w:rsidRPr="00792AD3" w:rsidRDefault="001B27DB" w:rsidP="001B27DB">
      <w:pPr>
        <w:rPr>
          <w:szCs w:val="28"/>
        </w:rPr>
      </w:pPr>
    </w:p>
    <w:tbl>
      <w:tblPr>
        <w:tblStyle w:val="Sombreadomedio1-nfasis1"/>
        <w:tblW w:w="8720" w:type="dxa"/>
        <w:tblLook w:val="04A0" w:firstRow="1" w:lastRow="0" w:firstColumn="1" w:lastColumn="0" w:noHBand="0" w:noVBand="1"/>
      </w:tblPr>
      <w:tblGrid>
        <w:gridCol w:w="2536"/>
        <w:gridCol w:w="1377"/>
        <w:gridCol w:w="1524"/>
        <w:gridCol w:w="1984"/>
        <w:gridCol w:w="1299"/>
      </w:tblGrid>
      <w:tr w:rsidR="00F969ED" w:rsidRPr="00522548" w:rsidTr="00F96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hideMark/>
          </w:tcPr>
          <w:p w:rsidR="00F969ED" w:rsidRPr="00522548" w:rsidRDefault="00F969ED" w:rsidP="00450975">
            <w:pPr>
              <w:rPr>
                <w:rFonts w:ascii="Calibri" w:hAnsi="Calibri" w:cs="Times New Roman"/>
                <w:b w:val="0"/>
                <w:bCs w:val="0"/>
                <w:color w:val="000000"/>
              </w:rPr>
            </w:pPr>
            <w:r w:rsidRPr="00522548">
              <w:rPr>
                <w:rFonts w:ascii="Calibri" w:hAnsi="Calibri" w:cs="Times New Roman"/>
                <w:b w:val="0"/>
                <w:bCs w:val="0"/>
                <w:snapToGrid w:val="0"/>
                <w:color w:val="000000"/>
              </w:rPr>
              <w:t>Escuelas</w:t>
            </w:r>
          </w:p>
        </w:tc>
        <w:tc>
          <w:tcPr>
            <w:tcW w:w="1377" w:type="dxa"/>
          </w:tcPr>
          <w:p w:rsidR="00F969ED" w:rsidRPr="00CB2571" w:rsidRDefault="00F969ED" w:rsidP="00450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bCs w:val="0"/>
              </w:rPr>
            </w:pPr>
            <w:r>
              <w:rPr>
                <w:rFonts w:ascii="Calibri" w:hAnsi="Calibri" w:cs="Times New Roman"/>
                <w:b w:val="0"/>
                <w:bCs w:val="0"/>
              </w:rPr>
              <w:t>2018</w:t>
            </w:r>
          </w:p>
        </w:tc>
        <w:tc>
          <w:tcPr>
            <w:tcW w:w="1524" w:type="dxa"/>
          </w:tcPr>
          <w:p w:rsidR="00F969ED" w:rsidRPr="00CB2571" w:rsidRDefault="00F969ED" w:rsidP="00450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bCs w:val="0"/>
              </w:rPr>
            </w:pPr>
            <w:r w:rsidRPr="00CB2571">
              <w:rPr>
                <w:rFonts w:ascii="Calibri" w:hAnsi="Calibri" w:cs="Times New Roman"/>
                <w:b w:val="0"/>
                <w:bCs w:val="0"/>
              </w:rPr>
              <w:t>2017</w:t>
            </w:r>
          </w:p>
        </w:tc>
        <w:tc>
          <w:tcPr>
            <w:tcW w:w="1984" w:type="dxa"/>
            <w:noWrap/>
            <w:hideMark/>
          </w:tcPr>
          <w:p w:rsidR="00F969ED" w:rsidRPr="00522548" w:rsidRDefault="00F969ED" w:rsidP="00450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bCs w:val="0"/>
                <w:color w:val="FFFFFF"/>
              </w:rPr>
            </w:pPr>
            <w:r w:rsidRPr="00522548">
              <w:rPr>
                <w:rFonts w:ascii="Calibri" w:hAnsi="Calibri" w:cs="Times New Roman"/>
                <w:b w:val="0"/>
                <w:bCs w:val="0"/>
                <w:color w:val="FFFFFF"/>
              </w:rPr>
              <w:t>2016</w:t>
            </w:r>
          </w:p>
        </w:tc>
        <w:tc>
          <w:tcPr>
            <w:tcW w:w="1299" w:type="dxa"/>
            <w:hideMark/>
          </w:tcPr>
          <w:p w:rsidR="00F969ED" w:rsidRPr="00522548" w:rsidRDefault="00F969ED" w:rsidP="00450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bCs w:val="0"/>
                <w:color w:val="FFFFFF"/>
              </w:rPr>
            </w:pPr>
            <w:r w:rsidRPr="00522548">
              <w:rPr>
                <w:rFonts w:ascii="Calibri" w:hAnsi="Calibri" w:cs="Times New Roman"/>
                <w:b w:val="0"/>
                <w:bCs w:val="0"/>
                <w:snapToGrid w:val="0"/>
                <w:color w:val="FFFFFF"/>
              </w:rPr>
              <w:t>2015</w:t>
            </w:r>
          </w:p>
        </w:tc>
      </w:tr>
      <w:tr w:rsidR="00F969ED" w:rsidRPr="00522548" w:rsidTr="00F96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hideMark/>
          </w:tcPr>
          <w:p w:rsidR="00F969ED" w:rsidRPr="00CB2571" w:rsidRDefault="00F969ED" w:rsidP="00450975">
            <w:pPr>
              <w:rPr>
                <w:rFonts w:ascii="Calibri" w:hAnsi="Calibri" w:cs="Times New Roman"/>
                <w:b w:val="0"/>
                <w:color w:val="000000"/>
              </w:rPr>
            </w:pPr>
            <w:r w:rsidRPr="00CB2571">
              <w:rPr>
                <w:rFonts w:ascii="Calibri" w:hAnsi="Calibri" w:cs="Times New Roman"/>
                <w:b w:val="0"/>
                <w:snapToGrid w:val="0"/>
                <w:color w:val="000000"/>
              </w:rPr>
              <w:t>Sanitaria</w:t>
            </w:r>
          </w:p>
        </w:tc>
        <w:tc>
          <w:tcPr>
            <w:tcW w:w="1377" w:type="dxa"/>
          </w:tcPr>
          <w:p w:rsidR="00F969ED" w:rsidRPr="00CB2571" w:rsidRDefault="00F969ED" w:rsidP="0045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43%</w:t>
            </w:r>
          </w:p>
        </w:tc>
        <w:tc>
          <w:tcPr>
            <w:tcW w:w="1524" w:type="dxa"/>
          </w:tcPr>
          <w:p w:rsidR="00F969ED" w:rsidRPr="00F969ED" w:rsidRDefault="00F969ED" w:rsidP="0045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F969ED">
              <w:rPr>
                <w:rFonts w:ascii="Calibri" w:hAnsi="Calibri" w:cs="Times New Roman"/>
                <w:color w:val="000000"/>
              </w:rPr>
              <w:t>35%</w:t>
            </w:r>
          </w:p>
        </w:tc>
        <w:tc>
          <w:tcPr>
            <w:tcW w:w="1984" w:type="dxa"/>
            <w:noWrap/>
            <w:hideMark/>
          </w:tcPr>
          <w:p w:rsidR="00F969ED" w:rsidRPr="00522548" w:rsidRDefault="00F969ED" w:rsidP="0045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522548">
              <w:rPr>
                <w:rFonts w:ascii="Calibri" w:hAnsi="Calibri" w:cs="Times New Roman"/>
                <w:color w:val="000000"/>
              </w:rPr>
              <w:t>28%</w:t>
            </w:r>
          </w:p>
        </w:tc>
        <w:tc>
          <w:tcPr>
            <w:tcW w:w="1299" w:type="dxa"/>
            <w:hideMark/>
          </w:tcPr>
          <w:p w:rsidR="00F969ED" w:rsidRPr="00CB2571" w:rsidRDefault="00F969ED" w:rsidP="0045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CB2571">
              <w:rPr>
                <w:rFonts w:ascii="Calibri" w:hAnsi="Calibri" w:cs="Times New Roman"/>
                <w:snapToGrid w:val="0"/>
              </w:rPr>
              <w:t>34%</w:t>
            </w:r>
          </w:p>
        </w:tc>
      </w:tr>
      <w:tr w:rsidR="00F969ED" w:rsidRPr="00522548" w:rsidTr="00F969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hideMark/>
          </w:tcPr>
          <w:p w:rsidR="00F969ED" w:rsidRPr="00CB2571" w:rsidRDefault="00F969ED" w:rsidP="00450975">
            <w:pPr>
              <w:rPr>
                <w:rFonts w:ascii="Calibri" w:hAnsi="Calibri" w:cs="Times New Roman"/>
                <w:b w:val="0"/>
                <w:color w:val="000000"/>
              </w:rPr>
            </w:pPr>
            <w:r w:rsidRPr="00CB2571">
              <w:rPr>
                <w:rFonts w:ascii="Calibri" w:hAnsi="Calibri" w:cs="Times New Roman"/>
                <w:b w:val="0"/>
                <w:snapToGrid w:val="0"/>
                <w:color w:val="000000"/>
              </w:rPr>
              <w:t>Corporativa</w:t>
            </w:r>
          </w:p>
        </w:tc>
        <w:tc>
          <w:tcPr>
            <w:tcW w:w="1377" w:type="dxa"/>
          </w:tcPr>
          <w:p w:rsidR="00F969ED" w:rsidRPr="00CB2571" w:rsidRDefault="00F969ED" w:rsidP="00450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37%</w:t>
            </w:r>
          </w:p>
        </w:tc>
        <w:tc>
          <w:tcPr>
            <w:tcW w:w="1524" w:type="dxa"/>
          </w:tcPr>
          <w:p w:rsidR="00F969ED" w:rsidRPr="00F969ED" w:rsidRDefault="00F969ED" w:rsidP="00450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F969ED">
              <w:rPr>
                <w:rFonts w:ascii="Calibri" w:hAnsi="Calibri" w:cs="Times New Roman"/>
                <w:color w:val="000000"/>
              </w:rPr>
              <w:t>46%</w:t>
            </w:r>
          </w:p>
        </w:tc>
        <w:tc>
          <w:tcPr>
            <w:tcW w:w="1984" w:type="dxa"/>
            <w:noWrap/>
            <w:hideMark/>
          </w:tcPr>
          <w:p w:rsidR="00F969ED" w:rsidRPr="00522548" w:rsidRDefault="00F969ED" w:rsidP="00450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522548">
              <w:rPr>
                <w:rFonts w:ascii="Calibri" w:hAnsi="Calibri" w:cs="Times New Roman"/>
                <w:color w:val="000000"/>
              </w:rPr>
              <w:t>39%</w:t>
            </w:r>
          </w:p>
        </w:tc>
        <w:tc>
          <w:tcPr>
            <w:tcW w:w="1299" w:type="dxa"/>
            <w:hideMark/>
          </w:tcPr>
          <w:p w:rsidR="00F969ED" w:rsidRPr="00CB2571" w:rsidRDefault="00F969ED" w:rsidP="00450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CB2571">
              <w:rPr>
                <w:rFonts w:ascii="Calibri" w:hAnsi="Calibri" w:cs="Times New Roman"/>
                <w:snapToGrid w:val="0"/>
              </w:rPr>
              <w:t>37%</w:t>
            </w:r>
          </w:p>
        </w:tc>
      </w:tr>
      <w:tr w:rsidR="00F969ED" w:rsidRPr="00522548" w:rsidTr="00F96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hideMark/>
          </w:tcPr>
          <w:p w:rsidR="00F969ED" w:rsidRPr="00CB2571" w:rsidRDefault="00F969ED" w:rsidP="00450975">
            <w:pPr>
              <w:rPr>
                <w:rFonts w:ascii="Calibri" w:hAnsi="Calibri" w:cs="Times New Roman"/>
                <w:b w:val="0"/>
                <w:color w:val="000000"/>
              </w:rPr>
            </w:pPr>
            <w:r w:rsidRPr="00CB2571">
              <w:rPr>
                <w:rFonts w:ascii="Calibri" w:hAnsi="Calibri" w:cs="Times New Roman"/>
                <w:b w:val="0"/>
                <w:snapToGrid w:val="0"/>
                <w:color w:val="000000"/>
              </w:rPr>
              <w:t>Administración de Negocio</w:t>
            </w:r>
          </w:p>
        </w:tc>
        <w:tc>
          <w:tcPr>
            <w:tcW w:w="1377" w:type="dxa"/>
          </w:tcPr>
          <w:p w:rsidR="00F969ED" w:rsidRPr="00CB2571" w:rsidRDefault="00F969ED" w:rsidP="0045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17%</w:t>
            </w:r>
          </w:p>
        </w:tc>
        <w:tc>
          <w:tcPr>
            <w:tcW w:w="1524" w:type="dxa"/>
          </w:tcPr>
          <w:p w:rsidR="00F969ED" w:rsidRPr="00F969ED" w:rsidRDefault="00F969ED" w:rsidP="0045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F969ED">
              <w:rPr>
                <w:rFonts w:ascii="Calibri" w:hAnsi="Calibri" w:cs="Times New Roman"/>
                <w:color w:val="000000"/>
              </w:rPr>
              <w:t>16%</w:t>
            </w:r>
          </w:p>
        </w:tc>
        <w:tc>
          <w:tcPr>
            <w:tcW w:w="1984" w:type="dxa"/>
            <w:noWrap/>
            <w:hideMark/>
          </w:tcPr>
          <w:p w:rsidR="00F969ED" w:rsidRPr="00522548" w:rsidRDefault="00F969ED" w:rsidP="0045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522548">
              <w:rPr>
                <w:rFonts w:ascii="Calibri" w:hAnsi="Calibri" w:cs="Times New Roman"/>
                <w:color w:val="000000"/>
              </w:rPr>
              <w:t>30%</w:t>
            </w:r>
          </w:p>
        </w:tc>
        <w:tc>
          <w:tcPr>
            <w:tcW w:w="1299" w:type="dxa"/>
            <w:hideMark/>
          </w:tcPr>
          <w:p w:rsidR="00F969ED" w:rsidRPr="00CB2571" w:rsidRDefault="00F969ED" w:rsidP="0045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CB2571">
              <w:rPr>
                <w:rFonts w:ascii="Calibri" w:hAnsi="Calibri" w:cs="Times New Roman"/>
                <w:snapToGrid w:val="0"/>
              </w:rPr>
              <w:t>28%</w:t>
            </w:r>
          </w:p>
        </w:tc>
      </w:tr>
      <w:tr w:rsidR="00F969ED" w:rsidRPr="00522548" w:rsidTr="00F969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hideMark/>
          </w:tcPr>
          <w:p w:rsidR="00F969ED" w:rsidRPr="00CB2571" w:rsidRDefault="00F969ED" w:rsidP="00450975">
            <w:pPr>
              <w:rPr>
                <w:rFonts w:ascii="Calibri" w:hAnsi="Calibri" w:cs="Times New Roman"/>
                <w:b w:val="0"/>
                <w:color w:val="000000"/>
              </w:rPr>
            </w:pPr>
            <w:r w:rsidRPr="00CB2571">
              <w:rPr>
                <w:rFonts w:ascii="Calibri" w:hAnsi="Calibri" w:cs="Times New Roman"/>
                <w:b w:val="0"/>
                <w:snapToGrid w:val="0"/>
                <w:color w:val="000000"/>
              </w:rPr>
              <w:t>Prevención</w:t>
            </w:r>
          </w:p>
        </w:tc>
        <w:tc>
          <w:tcPr>
            <w:tcW w:w="1377" w:type="dxa"/>
          </w:tcPr>
          <w:p w:rsidR="00F969ED" w:rsidRPr="00CB2571" w:rsidRDefault="00F969ED" w:rsidP="00450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3%</w:t>
            </w:r>
          </w:p>
        </w:tc>
        <w:tc>
          <w:tcPr>
            <w:tcW w:w="1524" w:type="dxa"/>
          </w:tcPr>
          <w:p w:rsidR="00F969ED" w:rsidRPr="00F969ED" w:rsidRDefault="00F969ED" w:rsidP="00450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F969ED">
              <w:rPr>
                <w:rFonts w:ascii="Calibri" w:hAnsi="Calibri" w:cs="Times New Roman"/>
                <w:color w:val="000000"/>
              </w:rPr>
              <w:t>3%</w:t>
            </w:r>
          </w:p>
        </w:tc>
        <w:tc>
          <w:tcPr>
            <w:tcW w:w="1984" w:type="dxa"/>
            <w:noWrap/>
            <w:hideMark/>
          </w:tcPr>
          <w:p w:rsidR="00F969ED" w:rsidRPr="00522548" w:rsidRDefault="00F969ED" w:rsidP="00450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522548">
              <w:rPr>
                <w:rFonts w:ascii="Calibri" w:hAnsi="Calibri" w:cs="Times New Roman"/>
                <w:color w:val="000000"/>
              </w:rPr>
              <w:t>2%</w:t>
            </w:r>
          </w:p>
        </w:tc>
        <w:tc>
          <w:tcPr>
            <w:tcW w:w="1299" w:type="dxa"/>
            <w:hideMark/>
          </w:tcPr>
          <w:p w:rsidR="00F969ED" w:rsidRPr="00CB2571" w:rsidRDefault="00F969ED" w:rsidP="00450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CB2571">
              <w:rPr>
                <w:rFonts w:ascii="Calibri" w:hAnsi="Calibri" w:cs="Times New Roman"/>
                <w:snapToGrid w:val="0"/>
              </w:rPr>
              <w:t>1%</w:t>
            </w:r>
          </w:p>
        </w:tc>
      </w:tr>
    </w:tbl>
    <w:p w:rsidR="001B27DB" w:rsidRDefault="001B27DB" w:rsidP="00403E98">
      <w:pPr>
        <w:spacing w:line="360" w:lineRule="auto"/>
        <w:jc w:val="both"/>
        <w:rPr>
          <w:b/>
          <w:sz w:val="28"/>
          <w:szCs w:val="28"/>
        </w:rPr>
      </w:pPr>
    </w:p>
    <w:p w:rsidR="001B27DB" w:rsidRDefault="00D5698B" w:rsidP="00403E98">
      <w:pPr>
        <w:spacing w:line="360" w:lineRule="auto"/>
        <w:jc w:val="both"/>
        <w:rPr>
          <w:szCs w:val="28"/>
        </w:rPr>
      </w:pPr>
      <w:r w:rsidRPr="00D5698B">
        <w:rPr>
          <w:szCs w:val="28"/>
        </w:rPr>
        <w:t>Por lo que a las asistencias se refieren (volumen de personas formadas), la distribución ha sido durante el ejercicio 2018:</w:t>
      </w:r>
    </w:p>
    <w:p w:rsidR="00D5698B" w:rsidRPr="00D5698B" w:rsidRDefault="00D5698B" w:rsidP="00403E98">
      <w:pPr>
        <w:spacing w:line="360" w:lineRule="auto"/>
        <w:jc w:val="both"/>
        <w:rPr>
          <w:szCs w:val="28"/>
        </w:rPr>
      </w:pPr>
    </w:p>
    <w:p w:rsidR="00D5698B" w:rsidRPr="00D5698B" w:rsidRDefault="00D5698B" w:rsidP="001B27D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D6A1C9" wp14:editId="38728467">
            <wp:extent cx="5400040" cy="3503488"/>
            <wp:effectExtent l="0" t="0" r="10160" b="2095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69ED" w:rsidRDefault="00F969ED" w:rsidP="001B27DB">
      <w:pPr>
        <w:rPr>
          <w:b/>
          <w:sz w:val="24"/>
          <w:szCs w:val="28"/>
        </w:rPr>
      </w:pPr>
    </w:p>
    <w:sectPr w:rsidR="00F96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98" w:rsidRDefault="00403E98" w:rsidP="00D5698B">
      <w:r>
        <w:separator/>
      </w:r>
    </w:p>
  </w:endnote>
  <w:endnote w:type="continuationSeparator" w:id="0">
    <w:p w:rsidR="00403E98" w:rsidRDefault="00403E98" w:rsidP="00D5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98" w:rsidRDefault="00403E98" w:rsidP="00D5698B">
      <w:r>
        <w:separator/>
      </w:r>
    </w:p>
  </w:footnote>
  <w:footnote w:type="continuationSeparator" w:id="0">
    <w:p w:rsidR="00403E98" w:rsidRDefault="00403E98" w:rsidP="00D5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DB"/>
    <w:rsid w:val="001B27DB"/>
    <w:rsid w:val="00374F24"/>
    <w:rsid w:val="003C4DF7"/>
    <w:rsid w:val="00403E98"/>
    <w:rsid w:val="00450975"/>
    <w:rsid w:val="00486D03"/>
    <w:rsid w:val="00611F46"/>
    <w:rsid w:val="00691F55"/>
    <w:rsid w:val="00802554"/>
    <w:rsid w:val="009C14BC"/>
    <w:rsid w:val="00A350B8"/>
    <w:rsid w:val="00B42DCA"/>
    <w:rsid w:val="00CD6D10"/>
    <w:rsid w:val="00CF6B7E"/>
    <w:rsid w:val="00D5698B"/>
    <w:rsid w:val="00D656C0"/>
    <w:rsid w:val="00E7515B"/>
    <w:rsid w:val="00F649AA"/>
    <w:rsid w:val="00F9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DB"/>
    <w:pPr>
      <w:spacing w:after="0" w:line="240" w:lineRule="auto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7">
    <w:name w:val="A7"/>
    <w:uiPriority w:val="99"/>
    <w:rsid w:val="001B27DB"/>
    <w:rPr>
      <w:rFonts w:cs="Garamond"/>
      <w:color w:val="000000"/>
      <w:sz w:val="22"/>
      <w:szCs w:val="22"/>
    </w:rPr>
  </w:style>
  <w:style w:type="character" w:styleId="Textoennegrita">
    <w:name w:val="Strong"/>
    <w:uiPriority w:val="22"/>
    <w:qFormat/>
    <w:rsid w:val="001B27DB"/>
    <w:rPr>
      <w:b/>
    </w:rPr>
  </w:style>
  <w:style w:type="table" w:styleId="Listaclara-nfasis1">
    <w:name w:val="Light List Accent 1"/>
    <w:basedOn w:val="Tablanormal"/>
    <w:uiPriority w:val="61"/>
    <w:rsid w:val="001B27D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1B27D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1B27D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B27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7D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69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698B"/>
    <w:rPr>
      <w:rFonts w:ascii="Arial" w:eastAsia="Times New Roman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69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98B"/>
    <w:rPr>
      <w:rFonts w:ascii="Arial" w:eastAsia="Times New Roman" w:hAnsi="Arial" w:cs="Aria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DB"/>
    <w:pPr>
      <w:spacing w:after="0" w:line="240" w:lineRule="auto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7">
    <w:name w:val="A7"/>
    <w:uiPriority w:val="99"/>
    <w:rsid w:val="001B27DB"/>
    <w:rPr>
      <w:rFonts w:cs="Garamond"/>
      <w:color w:val="000000"/>
      <w:sz w:val="22"/>
      <w:szCs w:val="22"/>
    </w:rPr>
  </w:style>
  <w:style w:type="character" w:styleId="Textoennegrita">
    <w:name w:val="Strong"/>
    <w:uiPriority w:val="22"/>
    <w:qFormat/>
    <w:rsid w:val="001B27DB"/>
    <w:rPr>
      <w:b/>
    </w:rPr>
  </w:style>
  <w:style w:type="table" w:styleId="Listaclara-nfasis1">
    <w:name w:val="Light List Accent 1"/>
    <w:basedOn w:val="Tablanormal"/>
    <w:uiPriority w:val="61"/>
    <w:rsid w:val="001B27D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1B27D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1B27D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B27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7D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69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698B"/>
    <w:rPr>
      <w:rFonts w:ascii="Arial" w:eastAsia="Times New Roman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69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98B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ercules.asepeyo.org\as_usuarios_01$\10572\ad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ercules.asepeyo.org\tas8007\Datos\AC\00-UCA\010-INFORMES\2018\listado%20de%20inscripciones%202018_DI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ercules.asepeyo.org\tas8007\Datos\AC\00-UCA\010-INFORMES\2018\listado%20de%20inscripciones%202018_DI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CURSOS!$P$18</c:f>
              <c:strCache>
                <c:ptCount val="1"/>
                <c:pt idx="0">
                  <c:v>INTERNOS </c:v>
                </c:pt>
              </c:strCache>
            </c:strRef>
          </c:tx>
          <c:invertIfNegative val="0"/>
          <c:cat>
            <c:strRef>
              <c:f>CURSOS!$Q$17:$W$17</c:f>
              <c:strCache>
                <c:ptCount val="7"/>
                <c:pt idx="0">
                  <c:v>Sanitaria</c:v>
                </c:pt>
                <c:pt idx="1">
                  <c:v>AdmNEG</c:v>
                </c:pt>
                <c:pt idx="2">
                  <c:v>Habilidades</c:v>
                </c:pt>
                <c:pt idx="3">
                  <c:v>TD</c:v>
                </c:pt>
                <c:pt idx="4">
                  <c:v>Prevención</c:v>
                </c:pt>
                <c:pt idx="5">
                  <c:v>SPP</c:v>
                </c:pt>
                <c:pt idx="6">
                  <c:v>CORP</c:v>
                </c:pt>
              </c:strCache>
            </c:strRef>
          </c:cat>
          <c:val>
            <c:numRef>
              <c:f>CURSOS!$Q$18:$W$18</c:f>
              <c:numCache>
                <c:formatCode>General</c:formatCode>
                <c:ptCount val="7"/>
                <c:pt idx="0">
                  <c:v>119</c:v>
                </c:pt>
                <c:pt idx="1">
                  <c:v>51</c:v>
                </c:pt>
                <c:pt idx="2">
                  <c:v>79</c:v>
                </c:pt>
                <c:pt idx="3">
                  <c:v>18</c:v>
                </c:pt>
                <c:pt idx="4">
                  <c:v>8</c:v>
                </c:pt>
                <c:pt idx="5">
                  <c:v>29</c:v>
                </c:pt>
                <c:pt idx="6">
                  <c:v>48</c:v>
                </c:pt>
              </c:numCache>
            </c:numRef>
          </c:val>
        </c:ser>
        <c:ser>
          <c:idx val="1"/>
          <c:order val="1"/>
          <c:tx>
            <c:strRef>
              <c:f>CURSOS!$P$19</c:f>
              <c:strCache>
                <c:ptCount val="1"/>
                <c:pt idx="0">
                  <c:v>EXTERNOS</c:v>
                </c:pt>
              </c:strCache>
            </c:strRef>
          </c:tx>
          <c:invertIfNegative val="0"/>
          <c:cat>
            <c:strRef>
              <c:f>CURSOS!$Q$17:$W$17</c:f>
              <c:strCache>
                <c:ptCount val="7"/>
                <c:pt idx="0">
                  <c:v>Sanitaria</c:v>
                </c:pt>
                <c:pt idx="1">
                  <c:v>AdmNEG</c:v>
                </c:pt>
                <c:pt idx="2">
                  <c:v>Habilidades</c:v>
                </c:pt>
                <c:pt idx="3">
                  <c:v>TD</c:v>
                </c:pt>
                <c:pt idx="4">
                  <c:v>Prevención</c:v>
                </c:pt>
                <c:pt idx="5">
                  <c:v>SPP</c:v>
                </c:pt>
                <c:pt idx="6">
                  <c:v>CORP</c:v>
                </c:pt>
              </c:strCache>
            </c:strRef>
          </c:cat>
          <c:val>
            <c:numRef>
              <c:f>CURSOS!$Q$19:$W$19</c:f>
              <c:numCache>
                <c:formatCode>General</c:formatCode>
                <c:ptCount val="7"/>
                <c:pt idx="0">
                  <c:v>360</c:v>
                </c:pt>
                <c:pt idx="1">
                  <c:v>66</c:v>
                </c:pt>
                <c:pt idx="2">
                  <c:v>55</c:v>
                </c:pt>
                <c:pt idx="3">
                  <c:v>32</c:v>
                </c:pt>
                <c:pt idx="4">
                  <c:v>18</c:v>
                </c:pt>
                <c:pt idx="5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895040"/>
        <c:axId val="108214144"/>
      </c:barChart>
      <c:catAx>
        <c:axId val="107895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8214144"/>
        <c:crosses val="autoZero"/>
        <c:auto val="1"/>
        <c:lblAlgn val="ctr"/>
        <c:lblOffset val="100"/>
        <c:noMultiLvlLbl val="0"/>
      </c:catAx>
      <c:valAx>
        <c:axId val="10821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895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sexo!$C$4:$C$5</c:f>
              <c:strCache>
                <c:ptCount val="2"/>
                <c:pt idx="0">
                  <c:v>Mujer</c:v>
                </c:pt>
                <c:pt idx="1">
                  <c:v>Varón</c:v>
                </c:pt>
              </c:strCache>
            </c:strRef>
          </c:cat>
          <c:val>
            <c:numRef>
              <c:f>sexo!$D$4:$D$5</c:f>
              <c:numCache>
                <c:formatCode>0%</c:formatCode>
                <c:ptCount val="2"/>
                <c:pt idx="0">
                  <c:v>0.54238958244032776</c:v>
                </c:pt>
                <c:pt idx="1">
                  <c:v>0.45761041755967224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6"/>
              <c:layout>
                <c:manualLayout>
                  <c:x val="-0.56607876978689042"/>
                  <c:y val="-4.558622668088185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'Asistencias TOTAL'!$D$4:$D$14</c:f>
              <c:strCache>
                <c:ptCount val="10"/>
                <c:pt idx="0">
                  <c:v>ADMINISTRACION DE NEGOCIO</c:v>
                </c:pt>
                <c:pt idx="1">
                  <c:v>CENTRO CALIDAD Y MEDIO AMBIENTE</c:v>
                </c:pt>
                <c:pt idx="2">
                  <c:v>CENTRO FORMADORES</c:v>
                </c:pt>
                <c:pt idx="3">
                  <c:v>CENTRO HABILIDADES</c:v>
                </c:pt>
                <c:pt idx="4">
                  <c:v>CENTRO NUEVOS EMPLEADOS</c:v>
                </c:pt>
                <c:pt idx="5">
                  <c:v>CENTRO RESPONSABILIDAD SOCIAL INTERNA</c:v>
                </c:pt>
                <c:pt idx="6">
                  <c:v>CENTRO SEGURIDAD, SALUD Y BIENESTAR</c:v>
                </c:pt>
                <c:pt idx="7">
                  <c:v>CENTRO TECNOLOGICO</c:v>
                </c:pt>
                <c:pt idx="8">
                  <c:v>PREVENCIÓN</c:v>
                </c:pt>
                <c:pt idx="9">
                  <c:v>SANITARIA</c:v>
                </c:pt>
              </c:strCache>
            </c:strRef>
          </c:cat>
          <c:val>
            <c:numRef>
              <c:f>'Asistencias TOTAL'!$E$4:$E$14</c:f>
              <c:numCache>
                <c:formatCode>0</c:formatCode>
                <c:ptCount val="10"/>
                <c:pt idx="0">
                  <c:v>18.085264041891026</c:v>
                </c:pt>
                <c:pt idx="1">
                  <c:v>5.9477350195129182</c:v>
                </c:pt>
                <c:pt idx="2">
                  <c:v>1.2992145432989182</c:v>
                </c:pt>
                <c:pt idx="3">
                  <c:v>11.692930889690263</c:v>
                </c:pt>
                <c:pt idx="4">
                  <c:v>3.3542459121671691</c:v>
                </c:pt>
                <c:pt idx="5">
                  <c:v>1.0225757051820381</c:v>
                </c:pt>
                <c:pt idx="6">
                  <c:v>4.4953811193992985</c:v>
                </c:pt>
                <c:pt idx="7">
                  <c:v>19.384478585189942</c:v>
                </c:pt>
                <c:pt idx="8" formatCode="General">
                  <c:v>7</c:v>
                </c:pt>
                <c:pt idx="9" formatCode="General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59B3-212E-4959-9F77-23648D59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941D5B36</Template>
  <TotalTime>0</TotalTime>
  <Pages>4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ASEPEYO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ASEPEYO</dc:creator>
  <cp:lastModifiedBy>ASEPEYO</cp:lastModifiedBy>
  <cp:revision>2</cp:revision>
  <dcterms:created xsi:type="dcterms:W3CDTF">2019-01-27T21:42:00Z</dcterms:created>
  <dcterms:modified xsi:type="dcterms:W3CDTF">2019-01-27T21:42:00Z</dcterms:modified>
</cp:coreProperties>
</file>